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61EF" w14:textId="3116DFDA" w:rsidR="002A4EB5" w:rsidRDefault="009C52E1" w:rsidP="009C52E1">
      <w:pPr>
        <w:pStyle w:val="Heading1"/>
        <w:numPr>
          <w:ilvl w:val="0"/>
          <w:numId w:val="0"/>
        </w:numPr>
        <w:spacing w:line="276" w:lineRule="auto"/>
        <w:ind w:left="432" w:hanging="432"/>
        <w:jc w:val="right"/>
      </w:pPr>
      <w:r>
        <w:rPr>
          <w:noProof/>
        </w:rPr>
        <w:drawing>
          <wp:inline distT="0" distB="0" distL="0" distR="0" wp14:anchorId="55968C87" wp14:editId="0B9A0B2F">
            <wp:extent cx="1240433" cy="1240433"/>
            <wp:effectExtent l="0" t="0" r="0" b="0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966535-A20F-4DFB-846B-F850FA2A1E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0B966535-A20F-4DFB-846B-F850FA2A1E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33" cy="12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828555E" w14:textId="77777777" w:rsidR="003A615C" w:rsidRDefault="003A615C" w:rsidP="00805B7A">
      <w:pPr>
        <w:pStyle w:val="Heading1"/>
        <w:numPr>
          <w:ilvl w:val="0"/>
          <w:numId w:val="0"/>
        </w:numPr>
        <w:spacing w:line="276" w:lineRule="auto"/>
        <w:ind w:left="432" w:hanging="432"/>
        <w:jc w:val="both"/>
      </w:pPr>
    </w:p>
    <w:p w14:paraId="2CF5A715" w14:textId="699CB453" w:rsidR="00FD06D7" w:rsidRDefault="00FD06D7" w:rsidP="00805B7A">
      <w:pPr>
        <w:spacing w:line="276" w:lineRule="auto"/>
        <w:jc w:val="both"/>
        <w:rPr>
          <w:rFonts w:cstheme="minorHAnsi"/>
        </w:rPr>
      </w:pPr>
      <w:r>
        <w:rPr>
          <w:noProof/>
        </w:rPr>
        <w:drawing>
          <wp:inline distT="0" distB="0" distL="0" distR="0" wp14:anchorId="0BCF306E" wp14:editId="268196F9">
            <wp:extent cx="1519603" cy="688975"/>
            <wp:effectExtent l="0" t="0" r="444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03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D02C41">
        <w:rPr>
          <w:rFonts w:cstheme="minorHAnsi"/>
        </w:rPr>
        <w:t xml:space="preserve"> </w:t>
      </w:r>
    </w:p>
    <w:p w14:paraId="5725E44E" w14:textId="2D017BC3" w:rsidR="002A4EB5" w:rsidRDefault="00FF6FBA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Vitamin D </w:t>
      </w:r>
      <w:r w:rsidR="00CC45B7">
        <w:rPr>
          <w:rFonts w:cstheme="minorHAnsi"/>
        </w:rPr>
        <w:t xml:space="preserve">se sintetizira u ljudskoj koži nakon izlaganja </w:t>
      </w:r>
      <w:r w:rsidR="00DB06F3">
        <w:rPr>
          <w:rFonts w:cstheme="minorHAnsi"/>
        </w:rPr>
        <w:t>s</w:t>
      </w:r>
      <w:r w:rsidR="00CC45B7">
        <w:rPr>
          <w:rFonts w:cstheme="minorHAnsi"/>
        </w:rPr>
        <w:t>un</w:t>
      </w:r>
      <w:r w:rsidR="00DB06F3">
        <w:rPr>
          <w:rFonts w:cstheme="minorHAnsi"/>
        </w:rPr>
        <w:t>čevoj svjetlosti</w:t>
      </w:r>
      <w:r w:rsidR="00CC45B7">
        <w:rPr>
          <w:rFonts w:cstheme="minorHAnsi"/>
        </w:rPr>
        <w:t>. Regulira metabolizme kalcija i fosf</w:t>
      </w:r>
      <w:r w:rsidR="00B85857">
        <w:rPr>
          <w:rFonts w:cstheme="minorHAnsi"/>
        </w:rPr>
        <w:t>ora</w:t>
      </w:r>
      <w:r w:rsidR="00CC45B7">
        <w:rPr>
          <w:rFonts w:cstheme="minorHAnsi"/>
        </w:rPr>
        <w:t xml:space="preserve">; esencijalan je za </w:t>
      </w:r>
      <w:proofErr w:type="spellStart"/>
      <w:r w:rsidR="00CC45B7">
        <w:rPr>
          <w:rFonts w:cstheme="minorHAnsi"/>
        </w:rPr>
        <w:t>održavanje</w:t>
      </w:r>
      <w:proofErr w:type="spellEnd"/>
      <w:r w:rsidR="00CC45B7">
        <w:rPr>
          <w:rFonts w:cstheme="minorHAnsi"/>
        </w:rPr>
        <w:t xml:space="preserve"> zdravlja koštanog sistema.</w:t>
      </w:r>
      <w:r w:rsidR="004B4DC4">
        <w:rPr>
          <w:rFonts w:cstheme="minorHAnsi"/>
        </w:rPr>
        <w:t xml:space="preserve"> Suplementacija vitaminom D tokom ranog djetinjstva sa ciljem </w:t>
      </w:r>
      <w:proofErr w:type="spellStart"/>
      <w:r w:rsidR="004B4DC4">
        <w:rPr>
          <w:rFonts w:cstheme="minorHAnsi"/>
        </w:rPr>
        <w:t>sprječavanja</w:t>
      </w:r>
      <w:proofErr w:type="spellEnd"/>
      <w:r w:rsidR="004B4DC4">
        <w:rPr>
          <w:rFonts w:cstheme="minorHAnsi"/>
        </w:rPr>
        <w:t xml:space="preserve"> rahitisa je univerzalno prihvaćena. Mnogi tipovi ljudskih stanica nose vitamin D receptore, a što je </w:t>
      </w:r>
      <w:proofErr w:type="spellStart"/>
      <w:r w:rsidR="00B85857">
        <w:rPr>
          <w:rFonts w:cstheme="minorHAnsi"/>
        </w:rPr>
        <w:t>podstaklo</w:t>
      </w:r>
      <w:proofErr w:type="spellEnd"/>
      <w:r w:rsidR="004B4DC4">
        <w:rPr>
          <w:rFonts w:cstheme="minorHAnsi"/>
        </w:rPr>
        <w:t xml:space="preserve"> sprovođenje studija o mogućoj vezi između statusa vitamina D i drugih oboljenja. Studije su potvrdile da značajan broj zdrave, europske djece može imati nedostatak vitamina D, posebno oni iz visokorizičnih </w:t>
      </w:r>
      <w:r w:rsidR="00B85857">
        <w:rPr>
          <w:rFonts w:cstheme="minorHAnsi"/>
        </w:rPr>
        <w:t xml:space="preserve">grupa </w:t>
      </w:r>
      <w:r w:rsidR="004B4DC4">
        <w:rPr>
          <w:rFonts w:cstheme="minorHAnsi"/>
        </w:rPr>
        <w:t>(</w:t>
      </w:r>
      <w:r w:rsidR="0053425B">
        <w:rPr>
          <w:rFonts w:cstheme="minorHAnsi"/>
        </w:rPr>
        <w:t xml:space="preserve">tamnije pigmentirana koža, djeca koja žive u područjima sa reduciranim izlaganjem </w:t>
      </w:r>
      <w:r w:rsidR="008E27DD">
        <w:rPr>
          <w:rFonts w:cstheme="minorHAnsi"/>
        </w:rPr>
        <w:t>sunčevoj svjetlosti</w:t>
      </w:r>
      <w:r w:rsidR="0053425B">
        <w:rPr>
          <w:rFonts w:cstheme="minorHAnsi"/>
        </w:rPr>
        <w:t xml:space="preserve"> i drugim poremećajima). Ipak, definicija nedostatka vitamina D je nejasna</w:t>
      </w:r>
      <w:r w:rsidR="003E75C3">
        <w:rPr>
          <w:rFonts w:cstheme="minorHAnsi"/>
        </w:rPr>
        <w:t xml:space="preserve"> radi razlika u uzorcima i nedostatku kon</w:t>
      </w:r>
      <w:r w:rsidR="00B85857">
        <w:rPr>
          <w:rFonts w:cstheme="minorHAnsi"/>
        </w:rPr>
        <w:t>s</w:t>
      </w:r>
      <w:r w:rsidR="003E75C3">
        <w:rPr>
          <w:rFonts w:cstheme="minorHAnsi"/>
        </w:rPr>
        <w:t xml:space="preserve">enzusa oko toga šta je to „adekvatna“ razina 25(OH)D. Sva novorođenčad do godine dana starosti trebaju primati oralnu suplementaciju vitaminom D u koncentraciji 400 IU/dnevno. Kada se planiraju nacionalne politike na temu suplementacije vitaminom D ili </w:t>
      </w:r>
      <w:proofErr w:type="spellStart"/>
      <w:r w:rsidR="003E75C3">
        <w:rPr>
          <w:rFonts w:cstheme="minorHAnsi"/>
        </w:rPr>
        <w:t>obogaćivanja</w:t>
      </w:r>
      <w:proofErr w:type="spellEnd"/>
      <w:r w:rsidR="003E75C3">
        <w:rPr>
          <w:rFonts w:cstheme="minorHAnsi"/>
        </w:rPr>
        <w:t xml:space="preserve"> hrane vitaminom D kod populacije djece starije od jedne godine, u obzir je potrebno uzeti </w:t>
      </w:r>
      <w:proofErr w:type="spellStart"/>
      <w:r w:rsidR="003E75C3">
        <w:rPr>
          <w:rFonts w:cstheme="minorHAnsi"/>
        </w:rPr>
        <w:t>izloženost</w:t>
      </w:r>
      <w:proofErr w:type="spellEnd"/>
      <w:r w:rsidR="003E75C3">
        <w:rPr>
          <w:rFonts w:cstheme="minorHAnsi"/>
        </w:rPr>
        <w:t xml:space="preserve"> sunčevoj svjetlosti, odnosno varijacije u istoj tokom jedne godine.</w:t>
      </w:r>
      <w:r w:rsidR="00CF0B31">
        <w:rPr>
          <w:rFonts w:cstheme="minorHAnsi"/>
        </w:rPr>
        <w:t xml:space="preserve"> (</w:t>
      </w:r>
      <w:r w:rsidR="00FF5DCB">
        <w:rPr>
          <w:rFonts w:cstheme="minorHAnsi"/>
        </w:rPr>
        <w:t>2</w:t>
      </w:r>
      <w:r w:rsidR="00CF0B31">
        <w:rPr>
          <w:rFonts w:cstheme="minorHAnsi"/>
        </w:rPr>
        <w:t>)</w:t>
      </w:r>
    </w:p>
    <w:p w14:paraId="6399E58E" w14:textId="635DEE58" w:rsidR="00934986" w:rsidRDefault="00DB4F9D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Obzirom da je vitamin D i </w:t>
      </w:r>
      <w:proofErr w:type="spellStart"/>
      <w:r>
        <w:rPr>
          <w:rFonts w:cstheme="minorHAnsi"/>
        </w:rPr>
        <w:t>nutritijent</w:t>
      </w:r>
      <w:proofErr w:type="spellEnd"/>
      <w:r>
        <w:rPr>
          <w:rFonts w:cstheme="minorHAnsi"/>
        </w:rPr>
        <w:t xml:space="preserve"> koji reguli</w:t>
      </w:r>
      <w:r w:rsidR="00B85857">
        <w:rPr>
          <w:rFonts w:cstheme="minorHAnsi"/>
        </w:rPr>
        <w:t>še</w:t>
      </w:r>
      <w:r>
        <w:rPr>
          <w:rFonts w:cstheme="minorHAnsi"/>
        </w:rPr>
        <w:t xml:space="preserve"> metabolizme kalcija i fosf</w:t>
      </w:r>
      <w:r w:rsidR="00B85857">
        <w:rPr>
          <w:rFonts w:cstheme="minorHAnsi"/>
        </w:rPr>
        <w:t>ora</w:t>
      </w:r>
      <w:r>
        <w:rPr>
          <w:rFonts w:cstheme="minorHAnsi"/>
        </w:rPr>
        <w:t>, esencijalan je za zdrav</w:t>
      </w:r>
      <w:r w:rsidR="007C1821">
        <w:rPr>
          <w:rFonts w:cstheme="minorHAnsi"/>
        </w:rPr>
        <w:t>l</w:t>
      </w:r>
      <w:r>
        <w:rPr>
          <w:rFonts w:cstheme="minorHAnsi"/>
        </w:rPr>
        <w:t xml:space="preserve">je kostiju. Klinička </w:t>
      </w:r>
      <w:proofErr w:type="spellStart"/>
      <w:r>
        <w:rPr>
          <w:rFonts w:cstheme="minorHAnsi"/>
        </w:rPr>
        <w:t>istraživanja</w:t>
      </w:r>
      <w:proofErr w:type="spellEnd"/>
      <w:r>
        <w:rPr>
          <w:rFonts w:cstheme="minorHAnsi"/>
        </w:rPr>
        <w:t xml:space="preserve"> </w:t>
      </w:r>
      <w:r w:rsidR="00B85857">
        <w:rPr>
          <w:rFonts w:cstheme="minorHAnsi"/>
        </w:rPr>
        <w:t>o</w:t>
      </w:r>
      <w:r>
        <w:rPr>
          <w:rFonts w:cstheme="minorHAnsi"/>
        </w:rPr>
        <w:t xml:space="preserve"> vitaminu D su </w:t>
      </w:r>
      <w:proofErr w:type="spellStart"/>
      <w:r w:rsidR="00B85857">
        <w:rPr>
          <w:rFonts w:cstheme="minorHAnsi"/>
        </w:rPr>
        <w:t>podstaknuta</w:t>
      </w:r>
      <w:proofErr w:type="spellEnd"/>
      <w:r w:rsidR="00B85857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otkrićem</w:t>
      </w:r>
      <w:proofErr w:type="spellEnd"/>
      <w:r>
        <w:rPr>
          <w:rFonts w:cstheme="minorHAnsi"/>
        </w:rPr>
        <w:t xml:space="preserve"> da mnogi tipovi ljudskih stanica imaju vitamin D receptore (VDR), a da VDR mogu igrati ulogu u regulaciji stanične proliferacije i diferencijacije, npr</w:t>
      </w:r>
      <w:r w:rsidR="00B85857">
        <w:rPr>
          <w:rFonts w:cstheme="minorHAnsi"/>
        </w:rPr>
        <w:t>.</w:t>
      </w:r>
      <w:r>
        <w:rPr>
          <w:rFonts w:cstheme="minorHAnsi"/>
        </w:rPr>
        <w:t xml:space="preserve"> kod stanica imunog sistema (T stanice, </w:t>
      </w:r>
      <w:proofErr w:type="spellStart"/>
      <w:r>
        <w:rPr>
          <w:rFonts w:cstheme="minorHAnsi"/>
        </w:rPr>
        <w:t>makrofagi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monociti</w:t>
      </w:r>
      <w:proofErr w:type="spellEnd"/>
      <w:r>
        <w:rPr>
          <w:rFonts w:cstheme="minorHAnsi"/>
        </w:rPr>
        <w:t xml:space="preserve">). Mnoštvo funkcija vitamina D, kao i </w:t>
      </w:r>
      <w:proofErr w:type="spellStart"/>
      <w:r>
        <w:rPr>
          <w:rFonts w:cstheme="minorHAnsi"/>
        </w:rPr>
        <w:t>o</w:t>
      </w:r>
      <w:r w:rsidR="00B85857">
        <w:rPr>
          <w:rFonts w:cstheme="minorHAnsi"/>
        </w:rPr>
        <w:t>bs</w:t>
      </w:r>
      <w:r>
        <w:rPr>
          <w:rFonts w:cstheme="minorHAnsi"/>
        </w:rPr>
        <w:t>ervaci</w:t>
      </w:r>
      <w:r w:rsidR="00B85857">
        <w:rPr>
          <w:rFonts w:cstheme="minorHAnsi"/>
        </w:rPr>
        <w:t>jske</w:t>
      </w:r>
      <w:proofErr w:type="spellEnd"/>
      <w:r w:rsidR="00B85857">
        <w:rPr>
          <w:rFonts w:cstheme="minorHAnsi"/>
        </w:rPr>
        <w:t xml:space="preserve"> </w:t>
      </w:r>
      <w:r>
        <w:rPr>
          <w:rFonts w:cstheme="minorHAnsi"/>
        </w:rPr>
        <w:t xml:space="preserve">studije u vezi povezanosti razina vitamina D i oboljenja, razlog su tome da su drugi efekti vitamina D predlagani za upotrebu kod djece, uključujući i prevenciju imunološki-posredovanih oboljenja (astma, </w:t>
      </w:r>
      <w:proofErr w:type="spellStart"/>
      <w:r>
        <w:rPr>
          <w:rFonts w:cstheme="minorHAnsi"/>
        </w:rPr>
        <w:t>diabetes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mellitus</w:t>
      </w:r>
      <w:proofErr w:type="spellEnd"/>
      <w:r>
        <w:rPr>
          <w:rFonts w:cstheme="minorHAnsi"/>
        </w:rPr>
        <w:t xml:space="preserve">), upalnih oboljenja (respiratorne infekcije, </w:t>
      </w:r>
      <w:proofErr w:type="spellStart"/>
      <w:r>
        <w:rPr>
          <w:rFonts w:cstheme="minorHAnsi"/>
        </w:rPr>
        <w:t>influenza</w:t>
      </w:r>
      <w:proofErr w:type="spellEnd"/>
      <w:r>
        <w:rPr>
          <w:rFonts w:cstheme="minorHAnsi"/>
        </w:rPr>
        <w:t>) i kardiovaskularnih oboljenja.</w:t>
      </w:r>
      <w:r w:rsidR="00FF5DCB">
        <w:rPr>
          <w:rFonts w:cstheme="minorHAnsi"/>
        </w:rPr>
        <w:t xml:space="preserve"> (3)</w:t>
      </w:r>
    </w:p>
    <w:p w14:paraId="1DACAA2A" w14:textId="4843A266" w:rsidR="001B391C" w:rsidRDefault="001B391C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Kako se ističe u Izjavi Europske pedijatrijske akademije (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European </w:t>
      </w:r>
      <w:proofErr w:type="spellStart"/>
      <w:r>
        <w:rPr>
          <w:rFonts w:cstheme="minorHAnsi"/>
        </w:rPr>
        <w:t>Academy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Paediatrics</w:t>
      </w:r>
      <w:proofErr w:type="spellEnd"/>
      <w:r>
        <w:rPr>
          <w:rFonts w:cstheme="minorHAnsi"/>
        </w:rPr>
        <w:t xml:space="preserve"> – EAP)</w:t>
      </w:r>
      <w:r w:rsidR="00686E1E">
        <w:rPr>
          <w:rFonts w:cstheme="minorHAnsi"/>
        </w:rPr>
        <w:t xml:space="preserve"> iz 2017. godine</w:t>
      </w:r>
      <w:r>
        <w:rPr>
          <w:rFonts w:cstheme="minorHAnsi"/>
        </w:rPr>
        <w:t xml:space="preserve">, cilj je pomoći </w:t>
      </w:r>
      <w:r w:rsidR="00982B8B">
        <w:rPr>
          <w:rFonts w:cstheme="minorHAnsi"/>
        </w:rPr>
        <w:t>pružateljima zdravstvenih usluga</w:t>
      </w:r>
      <w:r w:rsidR="00D56588">
        <w:rPr>
          <w:rFonts w:cstheme="minorHAnsi"/>
        </w:rPr>
        <w:t xml:space="preserve"> u </w:t>
      </w:r>
      <w:proofErr w:type="spellStart"/>
      <w:r w:rsidR="00D56588">
        <w:rPr>
          <w:rFonts w:cstheme="minorHAnsi"/>
        </w:rPr>
        <w:t>Europi</w:t>
      </w:r>
      <w:proofErr w:type="spellEnd"/>
      <w:r w:rsidR="00D56588">
        <w:rPr>
          <w:rFonts w:cstheme="minorHAnsi"/>
        </w:rPr>
        <w:t xml:space="preserve"> da cijene kliničku relevantnost adekvatnih razina vitamina D i </w:t>
      </w:r>
      <w:proofErr w:type="spellStart"/>
      <w:r w:rsidR="00D56588">
        <w:rPr>
          <w:rFonts w:cstheme="minorHAnsi"/>
        </w:rPr>
        <w:t>omoguće</w:t>
      </w:r>
      <w:proofErr w:type="spellEnd"/>
      <w:r w:rsidR="00D56588">
        <w:rPr>
          <w:rFonts w:cstheme="minorHAnsi"/>
        </w:rPr>
        <w:t xml:space="preserve"> praktičan pristup suplementaciji vitaminom D.</w:t>
      </w:r>
    </w:p>
    <w:p w14:paraId="65BA0775" w14:textId="58C88C7E" w:rsidR="00100A35" w:rsidRDefault="00100A35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Trenutno koncentracija 25(OH)D je najbolji indikator statusa vitamina D. Europsko društvo za pedijatrijsku gastroenterologiju, hepatologiju i ishranu (European </w:t>
      </w:r>
      <w:proofErr w:type="spellStart"/>
      <w:r>
        <w:rPr>
          <w:rFonts w:cstheme="minorHAnsi"/>
        </w:rPr>
        <w:t>Society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Paediatric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Gastroenterology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Hepatology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Nutrition</w:t>
      </w:r>
      <w:proofErr w:type="spellEnd"/>
      <w:r>
        <w:rPr>
          <w:rFonts w:cstheme="minorHAnsi"/>
        </w:rPr>
        <w:t xml:space="preserve"> – ESPGHAN) preporuč</w:t>
      </w:r>
      <w:r w:rsidR="00BB1615">
        <w:rPr>
          <w:rFonts w:cstheme="minorHAnsi"/>
        </w:rPr>
        <w:t>uje</w:t>
      </w:r>
      <w:r>
        <w:rPr>
          <w:rFonts w:cstheme="minorHAnsi"/>
        </w:rPr>
        <w:t xml:space="preserve"> pragmatično korištenje 25(OH)D serumskih koncentracija ˃ 50 </w:t>
      </w:r>
      <w:proofErr w:type="spellStart"/>
      <w:r>
        <w:rPr>
          <w:rFonts w:cstheme="minorHAnsi"/>
        </w:rPr>
        <w:t>nmol</w:t>
      </w:r>
      <w:proofErr w:type="spellEnd"/>
      <w:r>
        <w:rPr>
          <w:rFonts w:cstheme="minorHAnsi"/>
        </w:rPr>
        <w:t xml:space="preserve">/L (20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mL</w:t>
      </w:r>
      <w:proofErr w:type="spellEnd"/>
      <w:r>
        <w:rPr>
          <w:rFonts w:cstheme="minorHAnsi"/>
        </w:rPr>
        <w:t xml:space="preserve">) kao indikator dovoljne razine vitamina D, a serumske koncentracije ˂ 25 </w:t>
      </w:r>
      <w:proofErr w:type="spellStart"/>
      <w:r>
        <w:rPr>
          <w:rFonts w:cstheme="minorHAnsi"/>
        </w:rPr>
        <w:t>nmol</w:t>
      </w:r>
      <w:proofErr w:type="spellEnd"/>
      <w:r>
        <w:rPr>
          <w:rFonts w:cstheme="minorHAnsi"/>
        </w:rPr>
        <w:t xml:space="preserve">/L (10 </w:t>
      </w:r>
      <w:proofErr w:type="spellStart"/>
      <w:r>
        <w:rPr>
          <w:rFonts w:cstheme="minorHAnsi"/>
        </w:rPr>
        <w:t>ng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mL</w:t>
      </w:r>
      <w:proofErr w:type="spellEnd"/>
      <w:r>
        <w:rPr>
          <w:rFonts w:cstheme="minorHAnsi"/>
        </w:rPr>
        <w:t>) kao indikator ozbiljne deficijencije.</w:t>
      </w:r>
      <w:r w:rsidR="00532CF2">
        <w:rPr>
          <w:rFonts w:cstheme="minorHAnsi"/>
        </w:rPr>
        <w:t xml:space="preserve"> (3)</w:t>
      </w:r>
    </w:p>
    <w:p w14:paraId="0AC47EBD" w14:textId="6B578DFF" w:rsidR="002D477E" w:rsidRDefault="002D477E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Iako ne postoji opravdanje za rutinski </w:t>
      </w:r>
      <w:proofErr w:type="spellStart"/>
      <w:r>
        <w:rPr>
          <w:rFonts w:cstheme="minorHAnsi"/>
        </w:rPr>
        <w:t>s</w:t>
      </w:r>
      <w:r w:rsidR="00BB1615">
        <w:rPr>
          <w:rFonts w:cstheme="minorHAnsi"/>
        </w:rPr>
        <w:t>krining</w:t>
      </w:r>
      <w:proofErr w:type="spellEnd"/>
      <w:r w:rsidR="00BB1615">
        <w:rPr>
          <w:rFonts w:cstheme="minorHAnsi"/>
        </w:rPr>
        <w:t xml:space="preserve"> </w:t>
      </w:r>
      <w:r>
        <w:rPr>
          <w:rFonts w:cstheme="minorHAnsi"/>
        </w:rPr>
        <w:t xml:space="preserve">uzoraka krvi na vitamin D kod zdrave populacije djece, opravdanje svakako postoji kod rizičnih situacija za ozbiljan nedostatak vitamina D ili koštanog </w:t>
      </w:r>
      <w:r>
        <w:rPr>
          <w:rFonts w:cstheme="minorHAnsi"/>
        </w:rPr>
        <w:lastRenderedPageBreak/>
        <w:t xml:space="preserve">oboljenja: kod djece sa tamnijom pigmentacijom kože, djece sa </w:t>
      </w:r>
      <w:r w:rsidR="00BB1615">
        <w:rPr>
          <w:rFonts w:cstheme="minorHAnsi"/>
        </w:rPr>
        <w:t>h</w:t>
      </w:r>
      <w:r>
        <w:rPr>
          <w:rFonts w:cstheme="minorHAnsi"/>
        </w:rPr>
        <w:t xml:space="preserve">roničnim jetrenim/bubrežnim oboljenjima ili djece sa </w:t>
      </w:r>
      <w:proofErr w:type="spellStart"/>
      <w:r>
        <w:rPr>
          <w:rFonts w:cstheme="minorHAnsi"/>
        </w:rPr>
        <w:t>malapsorpcijom</w:t>
      </w:r>
      <w:proofErr w:type="spellEnd"/>
      <w:r>
        <w:rPr>
          <w:rFonts w:cstheme="minorHAnsi"/>
        </w:rPr>
        <w:t>, neadekvatnom ishranom, djece sa upalnim oboljenjima crijeva (</w:t>
      </w:r>
      <w:proofErr w:type="spellStart"/>
      <w:r w:rsidRPr="002D477E">
        <w:rPr>
          <w:rFonts w:cstheme="minorHAnsi"/>
        </w:rPr>
        <w:t>Inflammatory</w:t>
      </w:r>
      <w:proofErr w:type="spellEnd"/>
      <w:r w:rsidRPr="002D477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</w:t>
      </w:r>
      <w:r w:rsidRPr="002D477E">
        <w:rPr>
          <w:rFonts w:cstheme="minorHAnsi"/>
        </w:rPr>
        <w:t>owel</w:t>
      </w:r>
      <w:proofErr w:type="spellEnd"/>
      <w:r w:rsidRPr="002D477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</w:t>
      </w:r>
      <w:r w:rsidRPr="002D477E">
        <w:rPr>
          <w:rFonts w:cstheme="minorHAnsi"/>
        </w:rPr>
        <w:t>isease</w:t>
      </w:r>
      <w:proofErr w:type="spellEnd"/>
      <w:r>
        <w:rPr>
          <w:rFonts w:cstheme="minorHAnsi"/>
        </w:rPr>
        <w:t xml:space="preserve"> - IBD</w:t>
      </w:r>
      <w:r w:rsidRPr="002D477E">
        <w:rPr>
          <w:rFonts w:cstheme="minorHAnsi"/>
        </w:rPr>
        <w:t>)</w:t>
      </w:r>
      <w:r>
        <w:rPr>
          <w:rFonts w:cstheme="minorHAnsi"/>
        </w:rPr>
        <w:t>, djece izložene dugotrajn</w:t>
      </w:r>
      <w:r w:rsidR="00BB1615">
        <w:rPr>
          <w:rFonts w:cstheme="minorHAnsi"/>
        </w:rPr>
        <w:t>oj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parenteralno</w:t>
      </w:r>
      <w:r w:rsidR="00BB1615">
        <w:rPr>
          <w:rFonts w:cstheme="minorHAnsi"/>
        </w:rPr>
        <w:t>j</w:t>
      </w:r>
      <w:proofErr w:type="spellEnd"/>
      <w:r w:rsidR="00BB1615">
        <w:rPr>
          <w:rFonts w:cstheme="minorHAnsi"/>
        </w:rPr>
        <w:t xml:space="preserve"> prehrani</w:t>
      </w:r>
      <w:r>
        <w:rPr>
          <w:rFonts w:cstheme="minorHAnsi"/>
        </w:rPr>
        <w:t xml:space="preserve">, institucionalizirane djece i djece koja primaju </w:t>
      </w:r>
      <w:proofErr w:type="spellStart"/>
      <w:r>
        <w:rPr>
          <w:rFonts w:cstheme="minorHAnsi"/>
        </w:rPr>
        <w:t>antikonvulzive</w:t>
      </w:r>
      <w:proofErr w:type="spellEnd"/>
      <w:r>
        <w:rPr>
          <w:rFonts w:cstheme="minorHAnsi"/>
        </w:rPr>
        <w:t>.</w:t>
      </w:r>
    </w:p>
    <w:p w14:paraId="7AA1D2C3" w14:textId="7A1C3D00" w:rsidR="000A577F" w:rsidRDefault="000A577F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Suplementacija vitaminom D kod djece prevenira rahitis i </w:t>
      </w:r>
      <w:proofErr w:type="spellStart"/>
      <w:r>
        <w:rPr>
          <w:rFonts w:cstheme="minorHAnsi"/>
        </w:rPr>
        <w:t>osteomalaciju</w:t>
      </w:r>
      <w:proofErr w:type="spellEnd"/>
      <w:r>
        <w:rPr>
          <w:rFonts w:cstheme="minorHAnsi"/>
        </w:rPr>
        <w:t xml:space="preserve">. Kod djece sa nedostatkom vitamina D, suplementacija može rezultirati povećanjem mineralne gustoće kosti. </w:t>
      </w:r>
    </w:p>
    <w:p w14:paraId="1C0224C1" w14:textId="0FEB2C47" w:rsidR="000A577F" w:rsidRDefault="002E6F77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Deficijencija vitamina D je evidentn</w:t>
      </w:r>
      <w:r w:rsidR="005A51B9">
        <w:rPr>
          <w:rFonts w:cstheme="minorHAnsi"/>
        </w:rPr>
        <w:t xml:space="preserve">a u cijeloj europskoj populaciji, a stope </w:t>
      </w:r>
      <w:proofErr w:type="spellStart"/>
      <w:r w:rsidR="005A51B9">
        <w:rPr>
          <w:rFonts w:cstheme="minorHAnsi"/>
        </w:rPr>
        <w:t>prevalence</w:t>
      </w:r>
      <w:proofErr w:type="spellEnd"/>
      <w:r w:rsidR="005A51B9">
        <w:rPr>
          <w:rFonts w:cstheme="minorHAnsi"/>
        </w:rPr>
        <w:t xml:space="preserve"> su zabrinjavajuće. </w:t>
      </w:r>
      <w:r w:rsidR="009E1E8F">
        <w:rPr>
          <w:rFonts w:cstheme="minorHAnsi"/>
        </w:rPr>
        <w:t xml:space="preserve">(4) </w:t>
      </w:r>
      <w:r w:rsidR="005A51B9">
        <w:rPr>
          <w:rFonts w:cstheme="minorHAnsi"/>
        </w:rPr>
        <w:t xml:space="preserve">Nekolicina studija </w:t>
      </w:r>
      <w:proofErr w:type="spellStart"/>
      <w:r w:rsidR="005A51B9">
        <w:rPr>
          <w:rFonts w:cstheme="minorHAnsi"/>
        </w:rPr>
        <w:t>urađenih</w:t>
      </w:r>
      <w:proofErr w:type="spellEnd"/>
      <w:r w:rsidR="005A51B9">
        <w:rPr>
          <w:rFonts w:cstheme="minorHAnsi"/>
        </w:rPr>
        <w:t xml:space="preserve"> u nekim od europskih zemalja potvrđuje nezanemariv broj zdrave, europske djece i adolescenata koji mogu </w:t>
      </w:r>
      <w:r w:rsidR="00BB1615">
        <w:rPr>
          <w:rFonts w:cstheme="minorHAnsi"/>
        </w:rPr>
        <w:t>imati</w:t>
      </w:r>
      <w:r w:rsidR="005A51B9">
        <w:rPr>
          <w:rFonts w:cstheme="minorHAnsi"/>
        </w:rPr>
        <w:t xml:space="preserve"> deficijenciju vitamina D, a posebno u rizi</w:t>
      </w:r>
      <w:r w:rsidR="00BB1615">
        <w:rPr>
          <w:rFonts w:cstheme="minorHAnsi"/>
        </w:rPr>
        <w:t>čnim grupama</w:t>
      </w:r>
      <w:r w:rsidR="005A51B9">
        <w:rPr>
          <w:rFonts w:cstheme="minorHAnsi"/>
        </w:rPr>
        <w:t xml:space="preserve">. Ove </w:t>
      </w:r>
      <w:r w:rsidR="00BB1615">
        <w:rPr>
          <w:rFonts w:cstheme="minorHAnsi"/>
        </w:rPr>
        <w:t xml:space="preserve">grupe su </w:t>
      </w:r>
      <w:r w:rsidR="005A51B9">
        <w:rPr>
          <w:rFonts w:cstheme="minorHAnsi"/>
        </w:rPr>
        <w:t>dojen</w:t>
      </w:r>
      <w:r w:rsidR="00BB1615">
        <w:rPr>
          <w:rFonts w:cstheme="minorHAnsi"/>
        </w:rPr>
        <w:t>a</w:t>
      </w:r>
      <w:r w:rsidR="005A51B9">
        <w:rPr>
          <w:rFonts w:cstheme="minorHAnsi"/>
        </w:rPr>
        <w:t xml:space="preserve"> novorođenčad koja ne primaju preporu</w:t>
      </w:r>
      <w:r w:rsidR="00C13D96">
        <w:rPr>
          <w:rFonts w:cstheme="minorHAnsi"/>
        </w:rPr>
        <w:t>č</w:t>
      </w:r>
      <w:r w:rsidR="005A51B9">
        <w:rPr>
          <w:rFonts w:cstheme="minorHAnsi"/>
        </w:rPr>
        <w:t>enu suplementaciju, djec</w:t>
      </w:r>
      <w:r w:rsidR="00BB1615">
        <w:rPr>
          <w:rFonts w:cstheme="minorHAnsi"/>
        </w:rPr>
        <w:t>a</w:t>
      </w:r>
      <w:r w:rsidR="005A51B9">
        <w:rPr>
          <w:rFonts w:cstheme="minorHAnsi"/>
        </w:rPr>
        <w:t xml:space="preserve"> sa tamnom kožom koja žive u sjevernijim područjima i djec</w:t>
      </w:r>
      <w:r w:rsidR="00BB1615">
        <w:rPr>
          <w:rFonts w:cstheme="minorHAnsi"/>
        </w:rPr>
        <w:t>a</w:t>
      </w:r>
      <w:r w:rsidR="005A51B9">
        <w:rPr>
          <w:rFonts w:cstheme="minorHAnsi"/>
        </w:rPr>
        <w:t xml:space="preserve"> koja nisu dovoljno izlagana sunčevoj svjetlosti.</w:t>
      </w:r>
    </w:p>
    <w:p w14:paraId="3A0FAE9E" w14:textId="10D00A35" w:rsidR="00D93959" w:rsidRDefault="00D93959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EAP u svojoj Izjavi zaključuje da je preporučeni unos vitamina D:</w:t>
      </w:r>
    </w:p>
    <w:p w14:paraId="18243EA4" w14:textId="182F3FAB" w:rsidR="00D93959" w:rsidRPr="00D93959" w:rsidRDefault="00D93959" w:rsidP="00805B7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93959">
        <w:rPr>
          <w:rFonts w:asciiTheme="minorHAnsi" w:hAnsiTheme="minorHAnsi" w:cstheme="minorHAnsi"/>
        </w:rPr>
        <w:t xml:space="preserve">Za </w:t>
      </w:r>
      <w:proofErr w:type="spellStart"/>
      <w:r w:rsidRPr="00D93959">
        <w:rPr>
          <w:rFonts w:asciiTheme="minorHAnsi" w:hAnsiTheme="minorHAnsi" w:cstheme="minorHAnsi"/>
        </w:rPr>
        <w:t>populaciju</w:t>
      </w:r>
      <w:proofErr w:type="spellEnd"/>
      <w:r w:rsidRPr="00D93959">
        <w:rPr>
          <w:rFonts w:asciiTheme="minorHAnsi" w:hAnsiTheme="minorHAnsi" w:cstheme="minorHAnsi"/>
        </w:rPr>
        <w:t xml:space="preserve"> BEZ </w:t>
      </w:r>
      <w:proofErr w:type="spellStart"/>
      <w:r w:rsidRPr="00D93959">
        <w:rPr>
          <w:rFonts w:asciiTheme="minorHAnsi" w:hAnsiTheme="minorHAnsi" w:cstheme="minorHAnsi"/>
        </w:rPr>
        <w:t>rizika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od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deficijencije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vitamina</w:t>
      </w:r>
      <w:proofErr w:type="spellEnd"/>
      <w:r w:rsidRPr="00D93959">
        <w:rPr>
          <w:rFonts w:asciiTheme="minorHAnsi" w:hAnsiTheme="minorHAnsi" w:cstheme="minorHAnsi"/>
        </w:rPr>
        <w:t xml:space="preserve"> D:</w:t>
      </w:r>
    </w:p>
    <w:p w14:paraId="67AA40B6" w14:textId="2E054227" w:rsidR="00D93959" w:rsidRPr="00D93959" w:rsidRDefault="00D93959" w:rsidP="00805B7A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93959">
        <w:rPr>
          <w:rFonts w:asciiTheme="minorHAnsi" w:hAnsiTheme="minorHAnsi" w:cstheme="minorHAnsi"/>
        </w:rPr>
        <w:t xml:space="preserve">400 IU/dan </w:t>
      </w:r>
      <w:proofErr w:type="spellStart"/>
      <w:r w:rsidRPr="00D93959">
        <w:rPr>
          <w:rFonts w:asciiTheme="minorHAnsi" w:hAnsiTheme="minorHAnsi" w:cstheme="minorHAnsi"/>
        </w:rPr>
        <w:t>tokom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prve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godine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života</w:t>
      </w:r>
      <w:proofErr w:type="spellEnd"/>
    </w:p>
    <w:p w14:paraId="1AC796A8" w14:textId="4D7717AA" w:rsidR="00D93959" w:rsidRDefault="00D93959" w:rsidP="00805B7A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93959">
        <w:rPr>
          <w:rFonts w:asciiTheme="minorHAnsi" w:hAnsiTheme="minorHAnsi" w:cstheme="minorHAnsi"/>
        </w:rPr>
        <w:t xml:space="preserve">600 IU/dan </w:t>
      </w:r>
      <w:proofErr w:type="spellStart"/>
      <w:r w:rsidRPr="00D93959">
        <w:rPr>
          <w:rFonts w:asciiTheme="minorHAnsi" w:hAnsiTheme="minorHAnsi" w:cstheme="minorHAnsi"/>
        </w:rPr>
        <w:t>nakon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prve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godine</w:t>
      </w:r>
      <w:proofErr w:type="spellEnd"/>
      <w:r w:rsidRPr="00D93959">
        <w:rPr>
          <w:rFonts w:asciiTheme="minorHAnsi" w:hAnsiTheme="minorHAnsi" w:cstheme="minorHAnsi"/>
        </w:rPr>
        <w:t xml:space="preserve"> </w:t>
      </w:r>
      <w:proofErr w:type="spellStart"/>
      <w:r w:rsidRPr="00D93959">
        <w:rPr>
          <w:rFonts w:asciiTheme="minorHAnsi" w:hAnsiTheme="minorHAnsi" w:cstheme="minorHAnsi"/>
        </w:rPr>
        <w:t>života</w:t>
      </w:r>
      <w:proofErr w:type="spellEnd"/>
      <w:r w:rsidRPr="00D93959">
        <w:rPr>
          <w:rFonts w:asciiTheme="minorHAnsi" w:hAnsiTheme="minorHAnsi" w:cstheme="minorHAnsi"/>
        </w:rPr>
        <w:t xml:space="preserve"> (1 – 18 </w:t>
      </w:r>
      <w:proofErr w:type="spellStart"/>
      <w:r w:rsidRPr="00D93959">
        <w:rPr>
          <w:rFonts w:asciiTheme="minorHAnsi" w:hAnsiTheme="minorHAnsi" w:cstheme="minorHAnsi"/>
        </w:rPr>
        <w:t>godine</w:t>
      </w:r>
      <w:proofErr w:type="spellEnd"/>
      <w:r w:rsidRPr="00D93959">
        <w:rPr>
          <w:rFonts w:asciiTheme="minorHAnsi" w:hAnsiTheme="minorHAnsi" w:cstheme="minorHAnsi"/>
        </w:rPr>
        <w:t>)</w:t>
      </w:r>
      <w:r w:rsidR="00AA7F9E">
        <w:rPr>
          <w:rFonts w:asciiTheme="minorHAnsi" w:hAnsiTheme="minorHAnsi" w:cstheme="minorHAnsi"/>
        </w:rPr>
        <w:t xml:space="preserve"> (</w:t>
      </w:r>
      <w:r w:rsidR="007F1B8D">
        <w:rPr>
          <w:rFonts w:asciiTheme="minorHAnsi" w:hAnsiTheme="minorHAnsi" w:cstheme="minorHAnsi"/>
        </w:rPr>
        <w:t>3, 6)</w:t>
      </w:r>
    </w:p>
    <w:p w14:paraId="7F9B5C96" w14:textId="202FE0AC" w:rsidR="00D93959" w:rsidRDefault="00D93959" w:rsidP="00805B7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populaciju</w:t>
      </w:r>
      <w:proofErr w:type="spellEnd"/>
      <w:r>
        <w:rPr>
          <w:rFonts w:asciiTheme="minorHAnsi" w:hAnsiTheme="minorHAnsi" w:cstheme="minorHAnsi"/>
        </w:rPr>
        <w:t xml:space="preserve"> SA </w:t>
      </w:r>
      <w:proofErr w:type="spellStart"/>
      <w:r>
        <w:rPr>
          <w:rFonts w:asciiTheme="minorHAnsi" w:hAnsiTheme="minorHAnsi" w:cstheme="minorHAnsi"/>
        </w:rPr>
        <w:t>rizikom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deficijencije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vitamina</w:t>
      </w:r>
      <w:proofErr w:type="spellEnd"/>
      <w:r>
        <w:rPr>
          <w:rFonts w:asciiTheme="minorHAnsi" w:hAnsiTheme="minorHAnsi" w:cstheme="minorHAnsi"/>
        </w:rPr>
        <w:t xml:space="preserve"> D</w:t>
      </w:r>
      <w:r w:rsidR="00B56864">
        <w:rPr>
          <w:rFonts w:asciiTheme="minorHAnsi" w:hAnsiTheme="minorHAnsi" w:cstheme="minorHAnsi"/>
        </w:rPr>
        <w:t xml:space="preserve">, </w:t>
      </w:r>
      <w:proofErr w:type="spellStart"/>
      <w:r w:rsidR="00B56864">
        <w:rPr>
          <w:rFonts w:asciiTheme="minorHAnsi" w:hAnsiTheme="minorHAnsi" w:cstheme="minorHAnsi"/>
        </w:rPr>
        <w:t>potrebne</w:t>
      </w:r>
      <w:proofErr w:type="spellEnd"/>
      <w:r w:rsidR="00B56864">
        <w:rPr>
          <w:rFonts w:asciiTheme="minorHAnsi" w:hAnsiTheme="minorHAnsi" w:cstheme="minorHAnsi"/>
        </w:rPr>
        <w:t xml:space="preserve"> </w:t>
      </w:r>
      <w:proofErr w:type="spellStart"/>
      <w:r w:rsidR="00B56864"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veće</w:t>
      </w:r>
      <w:proofErr w:type="spellEnd"/>
      <w:r>
        <w:rPr>
          <w:rFonts w:asciiTheme="minorHAnsi" w:hAnsiTheme="minorHAnsi" w:cstheme="minorHAnsi"/>
        </w:rPr>
        <w:t xml:space="preserve"> doze </w:t>
      </w:r>
      <w:proofErr w:type="spellStart"/>
      <w:r>
        <w:rPr>
          <w:rFonts w:asciiTheme="minorHAnsi" w:hAnsiTheme="minorHAnsi" w:cstheme="minorHAnsi"/>
        </w:rPr>
        <w:t>koje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ovise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oboljenju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 w:rsidR="00BB161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olestatska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bolest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jetre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upalna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bolest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crijeva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oboljenje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koštanog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sistema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uzimanje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antikonvulziva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općim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rizicima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manjak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izlaganja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sunčevoj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svjetl</w:t>
      </w:r>
      <w:r w:rsidR="004B5DF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sti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tamnija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koža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itd</w:t>
      </w:r>
      <w:proofErr w:type="spellEnd"/>
      <w:r>
        <w:rPr>
          <w:rFonts w:asciiTheme="minorHAnsi" w:hAnsiTheme="minorHAnsi" w:cstheme="minorHAnsi"/>
        </w:rPr>
        <w:t>)</w:t>
      </w:r>
      <w:r w:rsidR="007F1B8D">
        <w:rPr>
          <w:rFonts w:asciiTheme="minorHAnsi" w:hAnsiTheme="minorHAnsi" w:cstheme="minorHAnsi"/>
        </w:rPr>
        <w:t xml:space="preserve"> (5, 6)</w:t>
      </w:r>
    </w:p>
    <w:p w14:paraId="2FD25452" w14:textId="67C15D12" w:rsidR="00D93959" w:rsidRDefault="00D93959" w:rsidP="00805B7A">
      <w:pPr>
        <w:spacing w:line="276" w:lineRule="auto"/>
        <w:jc w:val="both"/>
        <w:rPr>
          <w:rFonts w:cstheme="minorHAnsi"/>
        </w:rPr>
      </w:pPr>
    </w:p>
    <w:p w14:paraId="001C66EA" w14:textId="2319F4D0" w:rsidR="00D93959" w:rsidRDefault="00BB1615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 skladu sa</w:t>
      </w:r>
      <w:r w:rsidR="00D93959">
        <w:rPr>
          <w:rFonts w:cstheme="minorHAnsi"/>
        </w:rPr>
        <w:t xml:space="preserve"> Europsko</w:t>
      </w:r>
      <w:r>
        <w:rPr>
          <w:rFonts w:cstheme="minorHAnsi"/>
        </w:rPr>
        <w:t>m</w:t>
      </w:r>
      <w:r w:rsidR="00D93959">
        <w:rPr>
          <w:rFonts w:cstheme="minorHAnsi"/>
        </w:rPr>
        <w:t xml:space="preserve"> ag</w:t>
      </w:r>
      <w:r>
        <w:rPr>
          <w:rFonts w:cstheme="minorHAnsi"/>
        </w:rPr>
        <w:t>e</w:t>
      </w:r>
      <w:r w:rsidR="00D93959">
        <w:rPr>
          <w:rFonts w:cstheme="minorHAnsi"/>
        </w:rPr>
        <w:t>ncij</w:t>
      </w:r>
      <w:r>
        <w:rPr>
          <w:rFonts w:cstheme="minorHAnsi"/>
        </w:rPr>
        <w:t>om</w:t>
      </w:r>
      <w:r w:rsidR="00D93959">
        <w:rPr>
          <w:rFonts w:cstheme="minorHAnsi"/>
        </w:rPr>
        <w:t xml:space="preserve"> za sigurnost hrane (European </w:t>
      </w:r>
      <w:proofErr w:type="spellStart"/>
      <w:r w:rsidR="00D93959">
        <w:rPr>
          <w:rFonts w:cstheme="minorHAnsi"/>
        </w:rPr>
        <w:t>Food</w:t>
      </w:r>
      <w:proofErr w:type="spellEnd"/>
      <w:r w:rsidR="00D93959">
        <w:rPr>
          <w:rFonts w:cstheme="minorHAnsi"/>
        </w:rPr>
        <w:t xml:space="preserve"> </w:t>
      </w:r>
      <w:proofErr w:type="spellStart"/>
      <w:r w:rsidR="00D93959">
        <w:rPr>
          <w:rFonts w:cstheme="minorHAnsi"/>
        </w:rPr>
        <w:t>Safety</w:t>
      </w:r>
      <w:proofErr w:type="spellEnd"/>
      <w:r w:rsidR="00D93959">
        <w:rPr>
          <w:rFonts w:cstheme="minorHAnsi"/>
        </w:rPr>
        <w:t xml:space="preserve"> </w:t>
      </w:r>
      <w:proofErr w:type="spellStart"/>
      <w:r w:rsidR="00D93959">
        <w:rPr>
          <w:rFonts w:cstheme="minorHAnsi"/>
        </w:rPr>
        <w:t>Authority</w:t>
      </w:r>
      <w:proofErr w:type="spellEnd"/>
      <w:r w:rsidR="00D93959">
        <w:rPr>
          <w:rFonts w:cstheme="minorHAnsi"/>
        </w:rPr>
        <w:t xml:space="preserve"> – EFSA), gornja sigurna granica je</w:t>
      </w:r>
      <w:r w:rsidR="009A35BC">
        <w:rPr>
          <w:rFonts w:cstheme="minorHAnsi"/>
        </w:rPr>
        <w:t xml:space="preserve"> (3)</w:t>
      </w:r>
      <w:r w:rsidR="00D93959">
        <w:rPr>
          <w:rFonts w:cstheme="minorHAnsi"/>
        </w:rPr>
        <w:t>:</w:t>
      </w:r>
    </w:p>
    <w:p w14:paraId="366E96D3" w14:textId="045D19BE" w:rsidR="00D93959" w:rsidRPr="002D7A24" w:rsidRDefault="002D7A24" w:rsidP="00805B7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1.000 </w:t>
      </w:r>
      <w:r w:rsidR="00D93959" w:rsidRPr="002D7A24">
        <w:rPr>
          <w:rFonts w:asciiTheme="minorHAnsi" w:hAnsiTheme="minorHAnsi" w:cstheme="minorHAnsi"/>
        </w:rPr>
        <w:t xml:space="preserve">IU/dan </w:t>
      </w:r>
      <w:r w:rsidRPr="002D7A24">
        <w:rPr>
          <w:rFonts w:asciiTheme="minorHAnsi" w:hAnsiTheme="minorHAnsi" w:cstheme="minorHAnsi"/>
        </w:rPr>
        <w:t xml:space="preserve">za </w:t>
      </w:r>
      <w:proofErr w:type="spellStart"/>
      <w:r w:rsidRPr="002D7A24">
        <w:rPr>
          <w:rFonts w:asciiTheme="minorHAnsi" w:hAnsiTheme="minorHAnsi" w:cstheme="minorHAnsi"/>
        </w:rPr>
        <w:t>djecu</w:t>
      </w:r>
      <w:proofErr w:type="spellEnd"/>
      <w:r w:rsidRPr="002D7A24">
        <w:rPr>
          <w:rFonts w:asciiTheme="minorHAnsi" w:hAnsiTheme="minorHAnsi" w:cstheme="minorHAnsi"/>
        </w:rPr>
        <w:t xml:space="preserve"> do </w:t>
      </w:r>
      <w:proofErr w:type="spellStart"/>
      <w:r w:rsidRPr="002D7A24">
        <w:rPr>
          <w:rFonts w:asciiTheme="minorHAnsi" w:hAnsiTheme="minorHAnsi" w:cstheme="minorHAnsi"/>
        </w:rPr>
        <w:t>prve</w:t>
      </w:r>
      <w:proofErr w:type="spellEnd"/>
      <w:r w:rsidRPr="002D7A24">
        <w:rPr>
          <w:rFonts w:asciiTheme="minorHAnsi" w:hAnsiTheme="minorHAnsi" w:cstheme="minorHAnsi"/>
        </w:rPr>
        <w:t xml:space="preserve"> </w:t>
      </w:r>
      <w:proofErr w:type="spellStart"/>
      <w:r w:rsidRPr="002D7A24">
        <w:rPr>
          <w:rFonts w:asciiTheme="minorHAnsi" w:hAnsiTheme="minorHAnsi" w:cstheme="minorHAnsi"/>
        </w:rPr>
        <w:t>godine</w:t>
      </w:r>
      <w:proofErr w:type="spellEnd"/>
    </w:p>
    <w:p w14:paraId="010197DA" w14:textId="7CAA5983" w:rsidR="002D7A24" w:rsidRPr="002D7A24" w:rsidRDefault="002D7A24" w:rsidP="00805B7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D7A24">
        <w:rPr>
          <w:rFonts w:asciiTheme="minorHAnsi" w:hAnsiTheme="minorHAnsi" w:cstheme="minorHAnsi"/>
        </w:rPr>
        <w:t xml:space="preserve">2.000 IU/dan za </w:t>
      </w:r>
      <w:proofErr w:type="spellStart"/>
      <w:r w:rsidRPr="002D7A24">
        <w:rPr>
          <w:rFonts w:asciiTheme="minorHAnsi" w:hAnsiTheme="minorHAnsi" w:cstheme="minorHAnsi"/>
        </w:rPr>
        <w:t>djecu</w:t>
      </w:r>
      <w:proofErr w:type="spellEnd"/>
      <w:r w:rsidRPr="002D7A24">
        <w:rPr>
          <w:rFonts w:asciiTheme="minorHAnsi" w:hAnsiTheme="minorHAnsi" w:cstheme="minorHAnsi"/>
        </w:rPr>
        <w:t xml:space="preserve"> od 1 do 10 </w:t>
      </w:r>
      <w:proofErr w:type="spellStart"/>
      <w:r w:rsidRPr="002D7A24">
        <w:rPr>
          <w:rFonts w:asciiTheme="minorHAnsi" w:hAnsiTheme="minorHAnsi" w:cstheme="minorHAnsi"/>
        </w:rPr>
        <w:t>godina</w:t>
      </w:r>
      <w:proofErr w:type="spellEnd"/>
    </w:p>
    <w:p w14:paraId="2E38EB8E" w14:textId="3DF3184E" w:rsidR="002D7A24" w:rsidRPr="002D7A24" w:rsidRDefault="002D7A24" w:rsidP="00805B7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2D7A24">
        <w:rPr>
          <w:rFonts w:asciiTheme="minorHAnsi" w:hAnsiTheme="minorHAnsi" w:cstheme="minorHAnsi"/>
        </w:rPr>
        <w:t xml:space="preserve">4.000 IU/dan za </w:t>
      </w:r>
      <w:proofErr w:type="spellStart"/>
      <w:r w:rsidRPr="002D7A24">
        <w:rPr>
          <w:rFonts w:asciiTheme="minorHAnsi" w:hAnsiTheme="minorHAnsi" w:cstheme="minorHAnsi"/>
        </w:rPr>
        <w:t>djecu</w:t>
      </w:r>
      <w:proofErr w:type="spellEnd"/>
      <w:r w:rsidRPr="002D7A24">
        <w:rPr>
          <w:rFonts w:asciiTheme="minorHAnsi" w:hAnsiTheme="minorHAnsi" w:cstheme="minorHAnsi"/>
        </w:rPr>
        <w:t xml:space="preserve"> </w:t>
      </w:r>
      <w:proofErr w:type="spellStart"/>
      <w:r w:rsidRPr="002D7A24">
        <w:rPr>
          <w:rFonts w:asciiTheme="minorHAnsi" w:hAnsiTheme="minorHAnsi" w:cstheme="minorHAnsi"/>
        </w:rPr>
        <w:t>i</w:t>
      </w:r>
      <w:proofErr w:type="spellEnd"/>
      <w:r w:rsidRPr="002D7A24">
        <w:rPr>
          <w:rFonts w:asciiTheme="minorHAnsi" w:hAnsiTheme="minorHAnsi" w:cstheme="minorHAnsi"/>
        </w:rPr>
        <w:t xml:space="preserve"> </w:t>
      </w:r>
      <w:proofErr w:type="spellStart"/>
      <w:r w:rsidRPr="002D7A24">
        <w:rPr>
          <w:rFonts w:asciiTheme="minorHAnsi" w:hAnsiTheme="minorHAnsi" w:cstheme="minorHAnsi"/>
        </w:rPr>
        <w:t>adolescente</w:t>
      </w:r>
      <w:proofErr w:type="spellEnd"/>
      <w:r w:rsidRPr="002D7A24">
        <w:rPr>
          <w:rFonts w:asciiTheme="minorHAnsi" w:hAnsiTheme="minorHAnsi" w:cstheme="minorHAnsi"/>
        </w:rPr>
        <w:t xml:space="preserve"> od 11 do 17 </w:t>
      </w:r>
      <w:proofErr w:type="spellStart"/>
      <w:r w:rsidRPr="002D7A24">
        <w:rPr>
          <w:rFonts w:asciiTheme="minorHAnsi" w:hAnsiTheme="minorHAnsi" w:cstheme="minorHAnsi"/>
        </w:rPr>
        <w:t>godina</w:t>
      </w:r>
      <w:proofErr w:type="spellEnd"/>
    </w:p>
    <w:p w14:paraId="2F37E092" w14:textId="58ADEEFC" w:rsidR="00DE1B04" w:rsidRDefault="00DE1B04" w:rsidP="00805B7A">
      <w:pPr>
        <w:spacing w:line="276" w:lineRule="auto"/>
        <w:jc w:val="both"/>
        <w:rPr>
          <w:rFonts w:cstheme="minorHAnsi"/>
        </w:rPr>
      </w:pPr>
    </w:p>
    <w:p w14:paraId="23B63063" w14:textId="393A96CE" w:rsidR="00A34031" w:rsidRDefault="00A444F9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Vlade i znanstvena društva redov</w:t>
      </w:r>
      <w:r w:rsidR="00B56864">
        <w:rPr>
          <w:rFonts w:cstheme="minorHAnsi"/>
        </w:rPr>
        <w:t>n</w:t>
      </w:r>
      <w:r>
        <w:rPr>
          <w:rFonts w:cstheme="minorHAnsi"/>
        </w:rPr>
        <w:t>o ažuriraju preporuke za uzimanje vitamina D. Bez obzir</w:t>
      </w:r>
      <w:r w:rsidR="00B56864">
        <w:rPr>
          <w:rFonts w:cstheme="minorHAnsi"/>
        </w:rPr>
        <w:t>a</w:t>
      </w:r>
      <w:r>
        <w:rPr>
          <w:rFonts w:cstheme="minorHAnsi"/>
        </w:rPr>
        <w:t xml:space="preserve"> na varijacije kada su u pitanju preporučene doze, kon</w:t>
      </w:r>
      <w:r w:rsidR="00B56864">
        <w:rPr>
          <w:rFonts w:cstheme="minorHAnsi"/>
        </w:rPr>
        <w:t>s</w:t>
      </w:r>
      <w:r>
        <w:rPr>
          <w:rFonts w:cstheme="minorHAnsi"/>
        </w:rPr>
        <w:t xml:space="preserve">enzus postoji oko preporuka za suplementaciju djece do prve godine: 400 IU/dan (10 </w:t>
      </w:r>
      <w:proofErr w:type="spellStart"/>
      <w:r>
        <w:rPr>
          <w:rFonts w:cstheme="minorHAnsi"/>
        </w:rPr>
        <w:t>mcg</w:t>
      </w:r>
      <w:proofErr w:type="spellEnd"/>
      <w:r>
        <w:rPr>
          <w:rFonts w:cstheme="minorHAnsi"/>
        </w:rPr>
        <w:t>) tokom cijele prve godine života.</w:t>
      </w:r>
      <w:r w:rsidR="004735C4">
        <w:rPr>
          <w:rFonts w:cstheme="minorHAnsi"/>
        </w:rPr>
        <w:t xml:space="preserve"> (2)</w:t>
      </w:r>
    </w:p>
    <w:p w14:paraId="248DC6F3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61DE797A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7641A598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2EEE3C6B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3B43C80B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5FFD3BFE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64384D7D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5B4A8CF2" w14:textId="77777777" w:rsidR="00C37E2E" w:rsidRDefault="00C37E2E" w:rsidP="00805B7A">
      <w:pPr>
        <w:spacing w:line="276" w:lineRule="auto"/>
        <w:jc w:val="both"/>
        <w:rPr>
          <w:rFonts w:cstheme="minorHAnsi"/>
        </w:rPr>
      </w:pPr>
    </w:p>
    <w:p w14:paraId="3A53764C" w14:textId="5F0198AA" w:rsidR="006B7518" w:rsidRDefault="006B7518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Komparativna analiza</w:t>
      </w:r>
      <w:r w:rsidR="009B2293">
        <w:rPr>
          <w:rFonts w:cstheme="minorHAnsi"/>
        </w:rPr>
        <w:t xml:space="preserve"> </w:t>
      </w:r>
      <w:r w:rsidR="009865CA">
        <w:rPr>
          <w:rFonts w:cstheme="minorHAnsi"/>
        </w:rPr>
        <w:t>modernih smjernica</w:t>
      </w:r>
      <w:r w:rsidR="009B2293">
        <w:rPr>
          <w:rFonts w:cstheme="minorHAnsi"/>
        </w:rPr>
        <w:t xml:space="preserve"> pokazuje trendove</w:t>
      </w:r>
      <w:r w:rsidR="00D430BE">
        <w:rPr>
          <w:rFonts w:cstheme="minorHAnsi"/>
        </w:rPr>
        <w:t xml:space="preserve"> (7)</w:t>
      </w:r>
      <w:r w:rsidR="009B2293">
        <w:rPr>
          <w:rFonts w:cstheme="minorHAnsi"/>
        </w:rP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501"/>
        <w:gridCol w:w="1277"/>
        <w:gridCol w:w="1276"/>
        <w:gridCol w:w="2693"/>
      </w:tblGrid>
      <w:tr w:rsidR="009B2293" w:rsidRPr="009B2293" w14:paraId="60E6B4A6" w14:textId="77777777" w:rsidTr="007F57AD">
        <w:trPr>
          <w:trHeight w:hRule="exact" w:val="241"/>
        </w:trPr>
        <w:tc>
          <w:tcPr>
            <w:tcW w:w="2109" w:type="pct"/>
            <w:gridSpan w:val="2"/>
            <w:tcBorders>
              <w:bottom w:val="single" w:sz="4" w:space="0" w:color="FFFFFF"/>
            </w:tcBorders>
            <w:shd w:val="clear" w:color="auto" w:fill="CDBFA2"/>
            <w:vAlign w:val="center"/>
          </w:tcPr>
          <w:p w14:paraId="666C1E6A" w14:textId="7F0190B1" w:rsidR="009B2293" w:rsidRPr="00C70F7C" w:rsidRDefault="00C70F7C" w:rsidP="00C70F7C">
            <w:pPr>
              <w:rPr>
                <w:rFonts w:cstheme="minorHAnsi"/>
                <w:b/>
                <w:sz w:val="16"/>
                <w:szCs w:val="16"/>
              </w:rPr>
            </w:pPr>
            <w:r w:rsidRPr="00C70F7C">
              <w:rPr>
                <w:rFonts w:cstheme="minorHAnsi"/>
                <w:b/>
                <w:sz w:val="16"/>
                <w:szCs w:val="16"/>
              </w:rPr>
              <w:t>Nove smjernice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5CD7A2F2" w14:textId="2036D771" w:rsidR="009B2293" w:rsidRPr="009B2293" w:rsidRDefault="009B2293" w:rsidP="009B2293">
            <w:pPr>
              <w:pStyle w:val="TableParagraph"/>
              <w:spacing w:before="8"/>
              <w:ind w:left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0–1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579300F8" w14:textId="66F179ED" w:rsidR="009B2293" w:rsidRPr="009B2293" w:rsidRDefault="009B2293" w:rsidP="009B2293">
            <w:pPr>
              <w:pStyle w:val="TableParagraph"/>
              <w:spacing w:before="8"/>
              <w:ind w:left="111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1–3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</w:t>
            </w:r>
            <w:r w:rsidR="004900BE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3D9908E1" w14:textId="0103DB98" w:rsidR="009B2293" w:rsidRPr="009B2293" w:rsidRDefault="009B2293" w:rsidP="009B2293">
            <w:pPr>
              <w:pStyle w:val="TableParagraph"/>
              <w:spacing w:before="8"/>
              <w:ind w:left="88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4–18</w:t>
            </w:r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godina</w:t>
            </w:r>
            <w:proofErr w:type="spellEnd"/>
          </w:p>
        </w:tc>
      </w:tr>
      <w:tr w:rsidR="00C70F7C" w:rsidRPr="009B2293" w14:paraId="73C84D1A" w14:textId="77777777" w:rsidTr="007F57AD">
        <w:trPr>
          <w:trHeight w:hRule="exact" w:val="241"/>
        </w:trPr>
        <w:tc>
          <w:tcPr>
            <w:tcW w:w="2109" w:type="pct"/>
            <w:gridSpan w:val="2"/>
            <w:tcBorders>
              <w:bottom w:val="single" w:sz="4" w:space="0" w:color="FFFFFF"/>
            </w:tcBorders>
            <w:shd w:val="clear" w:color="auto" w:fill="CDBFA2"/>
            <w:vAlign w:val="center"/>
          </w:tcPr>
          <w:p w14:paraId="3D7C8EAE" w14:textId="77497759" w:rsidR="00C70F7C" w:rsidRPr="00C70F7C" w:rsidRDefault="00C70F7C" w:rsidP="00C70F7C">
            <w:pPr>
              <w:rPr>
                <w:rFonts w:cstheme="minorHAnsi"/>
                <w:b/>
                <w:sz w:val="16"/>
                <w:szCs w:val="16"/>
              </w:rPr>
            </w:pPr>
            <w:r w:rsidRPr="00C70F7C">
              <w:rPr>
                <w:rFonts w:cstheme="minorHAnsi"/>
                <w:b/>
                <w:sz w:val="16"/>
                <w:szCs w:val="16"/>
              </w:rPr>
              <w:t>Autoritet/Zemlja/Godina</w:t>
            </w:r>
          </w:p>
        </w:tc>
        <w:tc>
          <w:tcPr>
            <w:tcW w:w="2891" w:type="pct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770AC8DA" w14:textId="0109762B" w:rsidR="00C70F7C" w:rsidRPr="009B2293" w:rsidRDefault="00C70F7C" w:rsidP="00C70F7C">
            <w:pPr>
              <w:pStyle w:val="TableParagraph"/>
              <w:spacing w:before="8"/>
              <w:ind w:left="88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Preporučeni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unos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vitamina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D (UI/dan)</w:t>
            </w:r>
          </w:p>
        </w:tc>
      </w:tr>
      <w:tr w:rsidR="009B2293" w:rsidRPr="009B2293" w14:paraId="09E6DA42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D7B24C8" w14:textId="02FE304C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IOM (2010)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83ED5F0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DA22463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05ADFC1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</w:tr>
      <w:tr w:rsidR="009B2293" w:rsidRPr="009B2293" w14:paraId="027BAAFE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784FD883" w14:textId="7940C3FC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Australia–New Zealand (2013)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2A31FED2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5B09810D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16A8A37F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</w:tr>
      <w:tr w:rsidR="009B2293" w:rsidRPr="009B2293" w14:paraId="69E7A3AE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D5B885F" w14:textId="169C207E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DACH (2012</w:t>
            </w:r>
            <w:r w:rsidR="00045482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1B8B83E6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24FE1CD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800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D9647BE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800</w:t>
            </w:r>
          </w:p>
        </w:tc>
      </w:tr>
      <w:tr w:rsidR="009B2293" w:rsidRPr="009B2293" w14:paraId="43717C66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767F46BD" w14:textId="09FF68A2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Nordic countries (2012)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0BC9BC85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5551F788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4492059B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9B2293" w:rsidRPr="009B2293" w14:paraId="3266354E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73BE27C6" w14:textId="757667E0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WHO–FAO (2003/2012)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6108C526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28802423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6F72AAE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9B2293" w:rsidRPr="009B2293" w14:paraId="49A169BE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1617C868" w14:textId="5FF1DE64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UK (SACN 2016)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296FF3CE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340–400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46E8FE40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736EC3F9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9B2293" w:rsidRPr="009B2293" w14:paraId="45C87DEC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0627098" w14:textId="22A976C8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Netherlands (2012)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6B865780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1BD7B300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CFAD740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9B2293" w:rsidRPr="009B2293" w14:paraId="6500C428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37938FDD" w14:textId="2C88290D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Belgium (2009)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3302F5EA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13A0E9AD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1F315942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9B2293" w:rsidRPr="009B2293" w14:paraId="2648FE84" w14:textId="77777777" w:rsidTr="004900BE">
        <w:trPr>
          <w:trHeight w:hRule="exact" w:val="248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6972149C" w14:textId="3331B2EE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France (Société </w:t>
            </w:r>
            <w:proofErr w:type="spellStart"/>
            <w:r w:rsidRPr="009B229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Française</w:t>
            </w:r>
            <w:proofErr w:type="spellEnd"/>
            <w:r w:rsidRPr="009B2293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 xml:space="preserve"> de Nutrition; 2012)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588D9BF5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800–1,000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4BA4E670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102927C3" w14:textId="4C348E8B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80,000–100,000 </w:t>
            </w:r>
            <w:proofErr w:type="spellStart"/>
            <w:r w:rsidR="004900BE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dva</w:t>
            </w:r>
            <w:proofErr w:type="spellEnd"/>
            <w:r w:rsidR="004900BE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puta </w:t>
            </w:r>
            <w:proofErr w:type="spellStart"/>
            <w:r w:rsidR="004900BE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godišnje</w:t>
            </w:r>
            <w:proofErr w:type="spellEnd"/>
          </w:p>
        </w:tc>
      </w:tr>
      <w:tr w:rsidR="009B2293" w:rsidRPr="009B2293" w14:paraId="7D4E694D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5958CFBD" w14:textId="5D01B133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Endocrine society (2011)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3F2671EF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400–1,000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40EDA35C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400–1,000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  <w:vAlign w:val="center"/>
          </w:tcPr>
          <w:p w14:paraId="77A0C979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400–1,000</w:t>
            </w:r>
          </w:p>
        </w:tc>
      </w:tr>
      <w:tr w:rsidR="009B2293" w:rsidRPr="009B2293" w14:paraId="593A8646" w14:textId="77777777" w:rsidTr="004900BE">
        <w:trPr>
          <w:trHeight w:hRule="exact" w:val="254"/>
        </w:trPr>
        <w:tc>
          <w:tcPr>
            <w:tcW w:w="183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442AB565" w14:textId="5266D9A1" w:rsidR="009B2293" w:rsidRPr="009B2293" w:rsidRDefault="009B2293" w:rsidP="009865CA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EFSA draft version (2016)</w:t>
            </w:r>
          </w:p>
        </w:tc>
        <w:tc>
          <w:tcPr>
            <w:tcW w:w="98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57DB870" w14:textId="77777777" w:rsidR="009B2293" w:rsidRPr="009B2293" w:rsidRDefault="009B2293" w:rsidP="009B2293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70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331964E0" w14:textId="77777777" w:rsidR="009B2293" w:rsidRPr="009B2293" w:rsidRDefault="009B2293" w:rsidP="009B2293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  <w:tc>
          <w:tcPr>
            <w:tcW w:w="1484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  <w:vAlign w:val="center"/>
          </w:tcPr>
          <w:p w14:paraId="703FA416" w14:textId="77777777" w:rsidR="009B2293" w:rsidRPr="009B2293" w:rsidRDefault="009B2293" w:rsidP="009B2293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B2293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600</w:t>
            </w:r>
          </w:p>
        </w:tc>
      </w:tr>
    </w:tbl>
    <w:p w14:paraId="3B7B6818" w14:textId="2D914D29" w:rsidR="009B2293" w:rsidRDefault="009B2293" w:rsidP="00805B7A">
      <w:pPr>
        <w:spacing w:line="276" w:lineRule="auto"/>
        <w:jc w:val="both"/>
        <w:rPr>
          <w:rFonts w:cstheme="minorHAnsi"/>
        </w:rPr>
      </w:pPr>
    </w:p>
    <w:p w14:paraId="3A49ECDF" w14:textId="4E328D63" w:rsidR="00C70F7C" w:rsidRDefault="00C70F7C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Varijacije u pristupima </w:t>
      </w:r>
      <w:r w:rsidR="007F57AD">
        <w:rPr>
          <w:rFonts w:cstheme="minorHAnsi"/>
        </w:rPr>
        <w:t>su evidentne komparativnom analizom starijih smjernica</w:t>
      </w:r>
      <w:r w:rsidR="002D2F2A">
        <w:rPr>
          <w:rFonts w:cstheme="minorHAnsi"/>
        </w:rPr>
        <w:t xml:space="preserve"> (7)</w:t>
      </w:r>
      <w:r w:rsidR="007F57AD">
        <w:rPr>
          <w:rFonts w:cstheme="minorHAnsi"/>
        </w:rPr>
        <w:t>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1559"/>
        <w:gridCol w:w="1702"/>
        <w:gridCol w:w="2268"/>
      </w:tblGrid>
      <w:tr w:rsidR="006D62B0" w:rsidRPr="00037936" w14:paraId="1440D3B1" w14:textId="77777777" w:rsidTr="00BE5253">
        <w:trPr>
          <w:trHeight w:hRule="exact" w:val="241"/>
        </w:trPr>
        <w:tc>
          <w:tcPr>
            <w:tcW w:w="1953" w:type="pct"/>
            <w:tcBorders>
              <w:bottom w:val="single" w:sz="4" w:space="0" w:color="FFFFFF"/>
            </w:tcBorders>
            <w:shd w:val="clear" w:color="auto" w:fill="CDBFA2"/>
            <w:vAlign w:val="center"/>
          </w:tcPr>
          <w:p w14:paraId="29D1F8BF" w14:textId="48917F4C" w:rsidR="006D62B0" w:rsidRPr="00037936" w:rsidRDefault="006D62B0" w:rsidP="008C5034">
            <w:pPr>
              <w:rPr>
                <w:rFonts w:cstheme="minorHAnsi"/>
                <w:b/>
                <w:sz w:val="16"/>
                <w:szCs w:val="16"/>
              </w:rPr>
            </w:pPr>
            <w:r w:rsidRPr="00037936">
              <w:rPr>
                <w:rFonts w:cstheme="minorHAnsi"/>
                <w:b/>
                <w:sz w:val="16"/>
                <w:szCs w:val="16"/>
              </w:rPr>
              <w:t>Starije smjernice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77407473" w14:textId="77777777" w:rsidR="006D62B0" w:rsidRPr="00037936" w:rsidRDefault="006D62B0" w:rsidP="008C5034">
            <w:pPr>
              <w:pStyle w:val="TableParagraph"/>
              <w:spacing w:before="8"/>
              <w:ind w:left="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0–1 </w:t>
            </w: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7EC06166" w14:textId="77777777" w:rsidR="006D62B0" w:rsidRPr="00037936" w:rsidRDefault="006D62B0" w:rsidP="008C5034">
            <w:pPr>
              <w:pStyle w:val="TableParagraph"/>
              <w:spacing w:before="8"/>
              <w:ind w:left="111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1–3 </w:t>
            </w: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godine</w:t>
            </w:r>
            <w:proofErr w:type="spellEnd"/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35658F8D" w14:textId="77777777" w:rsidR="006D62B0" w:rsidRPr="00037936" w:rsidRDefault="006D62B0" w:rsidP="008C5034">
            <w:pPr>
              <w:pStyle w:val="TableParagraph"/>
              <w:spacing w:before="8"/>
              <w:ind w:left="88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4–18 </w:t>
            </w: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godina</w:t>
            </w:r>
            <w:proofErr w:type="spellEnd"/>
          </w:p>
        </w:tc>
      </w:tr>
      <w:tr w:rsidR="006D62B0" w:rsidRPr="00037936" w14:paraId="63B01A89" w14:textId="77777777" w:rsidTr="00037936">
        <w:trPr>
          <w:trHeight w:hRule="exact" w:val="241"/>
        </w:trPr>
        <w:tc>
          <w:tcPr>
            <w:tcW w:w="1953" w:type="pct"/>
            <w:tcBorders>
              <w:bottom w:val="single" w:sz="4" w:space="0" w:color="FFFFFF"/>
            </w:tcBorders>
            <w:shd w:val="clear" w:color="auto" w:fill="CDBFA2"/>
            <w:vAlign w:val="center"/>
          </w:tcPr>
          <w:p w14:paraId="1605DB03" w14:textId="77777777" w:rsidR="006D62B0" w:rsidRPr="00037936" w:rsidRDefault="006D62B0" w:rsidP="008C5034">
            <w:pPr>
              <w:rPr>
                <w:rFonts w:cstheme="minorHAnsi"/>
                <w:b/>
                <w:sz w:val="16"/>
                <w:szCs w:val="16"/>
              </w:rPr>
            </w:pPr>
            <w:r w:rsidRPr="00037936">
              <w:rPr>
                <w:rFonts w:cstheme="minorHAnsi"/>
                <w:b/>
                <w:sz w:val="16"/>
                <w:szCs w:val="16"/>
              </w:rPr>
              <w:t>Autoritet/Zemlja/Godina</w:t>
            </w:r>
          </w:p>
        </w:tc>
        <w:tc>
          <w:tcPr>
            <w:tcW w:w="3047" w:type="pct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CDBFA2"/>
            <w:vAlign w:val="center"/>
          </w:tcPr>
          <w:p w14:paraId="79AFADEB" w14:textId="77777777" w:rsidR="006D62B0" w:rsidRPr="00037936" w:rsidRDefault="006D62B0" w:rsidP="008C5034">
            <w:pPr>
              <w:pStyle w:val="TableParagraph"/>
              <w:spacing w:before="8"/>
              <w:ind w:left="88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Preporučeni</w:t>
            </w:r>
            <w:proofErr w:type="spellEnd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unos</w:t>
            </w:r>
            <w:proofErr w:type="spellEnd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vitamina</w:t>
            </w:r>
            <w:proofErr w:type="spellEnd"/>
            <w:r w:rsidRPr="00037936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 xml:space="preserve"> D (UI/dan)</w:t>
            </w:r>
          </w:p>
        </w:tc>
      </w:tr>
      <w:tr w:rsidR="00037936" w:rsidRPr="00037936" w14:paraId="03B8CFCD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29AB9441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Albania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6635994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C70660C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F07A7B0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6DF2B76E" w14:textId="77777777" w:rsidTr="00037936">
        <w:trPr>
          <w:trHeight w:hRule="exact" w:val="43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4089C2D" w14:textId="4BE83D09" w:rsidR="006D62B0" w:rsidRPr="00037936" w:rsidRDefault="006D62B0" w:rsidP="008C5034">
            <w:pPr>
              <w:pStyle w:val="TableParagraph"/>
              <w:spacing w:before="37" w:line="180" w:lineRule="exact"/>
              <w:ind w:left="68" w:right="682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Bosnia and Herzegovina (Federation of</w:t>
            </w:r>
            <w:r w:rsidR="001E0288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Bosnia and Herzegovina)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95C46BC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41272B7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72C796D7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2C2EAAAE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373E496" w14:textId="78938CBF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Bosnia and Herzegovina (Republi</w:t>
            </w:r>
            <w:r w:rsidR="00270E34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c </w:t>
            </w:r>
            <w:proofErr w:type="gramStart"/>
            <w:r w:rsidR="00270E34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of</w:t>
            </w: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 Srpska</w:t>
            </w:r>
            <w:proofErr w:type="gramEnd"/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014F813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F7DE9D7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C809707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3C3BC415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1556A576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Brazil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81667F3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E9EA513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72FB4E7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57CA493F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BDE1C04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Bulgaria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72E59CBE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DBB1650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D53ED7A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70FDF85F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668CD42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China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7D970882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62E5186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9FA438A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11172703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A2E3C49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Croatia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ACBAC63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2A13313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D3122F6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20DFA2AA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0406A71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Estonia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2404E6A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780CF86B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4A31EC1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5104ED7F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E701159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European Community (1993)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C566902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280–340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A075E39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7B68B26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0–400</w:t>
            </w:r>
          </w:p>
        </w:tc>
      </w:tr>
      <w:tr w:rsidR="00037936" w:rsidRPr="00037936" w14:paraId="309A5128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517FFEC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European Community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4C1D1F5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AA079F2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9731FDD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14C10820" w14:textId="77777777" w:rsidTr="00037936">
        <w:trPr>
          <w:trHeight w:hRule="exact" w:val="254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2B282647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Greece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E5134DB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C657ED7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CBFCA4E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31FD22C5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C617BC8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Hungary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2D67E6C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9BCDC1D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D550713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037B8F97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72BA240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Ireland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FFC646A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340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0A51751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87C4BF9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19B7CD8F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6403832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Italy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8B8B3AC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0D1C1B3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A00BF4D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07D34927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B559F98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Japan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ED87058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180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05ACFEA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120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26E705B9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160</w:t>
            </w:r>
          </w:p>
        </w:tc>
      </w:tr>
      <w:tr w:rsidR="00037936" w:rsidRPr="00037936" w14:paraId="5E4890B3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FAA0075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Latvia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7E0778C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957170C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D1BCB06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430DBDEC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20E4160B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Lithuania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92E76DD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692F871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F51E011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1FD5A8E6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13BE719" w14:textId="44AF6BFC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pacing w:val="-5"/>
                <w:sz w:val="16"/>
                <w:szCs w:val="16"/>
              </w:rPr>
              <w:t>Macedonia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721D4DD2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93F63C7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FE3C3A7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5F715999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2BD411D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Mexico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177F345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1BC499A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F6060E0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56300054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1A8735E6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Montenegro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02B80EF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FFE3C7F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763AEA6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1086E721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0A89712F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Poland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5C7C34F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B9C801E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DEBF79B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2294FC7D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25D8D2B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Portugal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79FD7C97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CA1A21F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FD53D14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623F2204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8A7012E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Romania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9E51D46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75A0DEEB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794CB11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</w:tr>
      <w:tr w:rsidR="00037936" w:rsidRPr="00037936" w14:paraId="0DBDB574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2B08E14D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Russian Federation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EB80564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4B38C91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7247C34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100</w:t>
            </w:r>
          </w:p>
        </w:tc>
      </w:tr>
      <w:tr w:rsidR="00037936" w:rsidRPr="00037936" w14:paraId="4F065D3B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1E6DF75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Serbia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1176DCF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10"/>
                <w:sz w:val="16"/>
                <w:szCs w:val="16"/>
              </w:rPr>
              <w:t>ND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0ADC8408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8C1D49D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4FDD2FEC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233843D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Slovakia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D64EFE7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4543F4B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1F0CF9F0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1B1AA7DF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7384525D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Slovenia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658ADA0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300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0309A613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2434DD4D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19DBB807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8A6D8C5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South Korea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3D6F7B3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48E96AB7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3DAFBC68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</w:tr>
      <w:tr w:rsidR="00037936" w:rsidRPr="00037936" w14:paraId="7D76DFC4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D2F9AA5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Southeast Asia region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464C64F6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7BCA13F8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126D12CC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0FA15F12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5473633B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Spain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69B2A02E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04B7E513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400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4DCCD"/>
          </w:tcPr>
          <w:p w14:paraId="1DDBADA5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  <w:tr w:rsidR="00037936" w:rsidRPr="00037936" w14:paraId="5886B648" w14:textId="77777777" w:rsidTr="00037936">
        <w:trPr>
          <w:trHeight w:hRule="exact" w:val="256"/>
        </w:trPr>
        <w:tc>
          <w:tcPr>
            <w:tcW w:w="1953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3CC8FDFF" w14:textId="77777777" w:rsidR="006D62B0" w:rsidRPr="00037936" w:rsidRDefault="006D62B0" w:rsidP="008C5034">
            <w:pPr>
              <w:pStyle w:val="TableParagraph"/>
              <w:ind w:left="68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  <w:t>WHO–FAO</w:t>
            </w:r>
          </w:p>
        </w:tc>
        <w:tc>
          <w:tcPr>
            <w:tcW w:w="85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05C4EBEB" w14:textId="77777777" w:rsidR="006D62B0" w:rsidRPr="00037936" w:rsidRDefault="006D62B0" w:rsidP="00037936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938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6E9B4666" w14:textId="77777777" w:rsidR="006D62B0" w:rsidRPr="00037936" w:rsidRDefault="006D62B0" w:rsidP="00037936">
            <w:pPr>
              <w:pStyle w:val="TableParagraph"/>
              <w:ind w:left="111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  <w:tc>
          <w:tcPr>
            <w:tcW w:w="1250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EBE5DA"/>
          </w:tcPr>
          <w:p w14:paraId="55E8A174" w14:textId="77777777" w:rsidR="006D62B0" w:rsidRPr="00037936" w:rsidRDefault="006D62B0" w:rsidP="00037936">
            <w:pPr>
              <w:pStyle w:val="TableParagraph"/>
              <w:ind w:left="88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37936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200</w:t>
            </w:r>
          </w:p>
        </w:tc>
      </w:tr>
    </w:tbl>
    <w:p w14:paraId="575B81EB" w14:textId="77777777" w:rsidR="006D62B0" w:rsidRDefault="006D62B0" w:rsidP="00805B7A">
      <w:pPr>
        <w:spacing w:line="276" w:lineRule="auto"/>
        <w:jc w:val="both"/>
        <w:rPr>
          <w:rFonts w:cstheme="minorHAnsi"/>
        </w:rPr>
      </w:pPr>
    </w:p>
    <w:p w14:paraId="24FF056A" w14:textId="7DD257EA" w:rsidR="00BB1E75" w:rsidRDefault="00BB1E75" w:rsidP="00805B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Povećanju broja </w:t>
      </w:r>
      <w:proofErr w:type="spellStart"/>
      <w:r>
        <w:rPr>
          <w:rFonts w:cstheme="minorHAnsi"/>
        </w:rPr>
        <w:t>istraživanja</w:t>
      </w:r>
      <w:proofErr w:type="spellEnd"/>
      <w:r>
        <w:rPr>
          <w:rFonts w:cstheme="minorHAnsi"/>
        </w:rPr>
        <w:t xml:space="preserve"> na </w:t>
      </w:r>
      <w:r w:rsidR="008D6AF2">
        <w:rPr>
          <w:rFonts w:cstheme="minorHAnsi"/>
        </w:rPr>
        <w:t xml:space="preserve">temu </w:t>
      </w:r>
      <w:r>
        <w:rPr>
          <w:rFonts w:cstheme="minorHAnsi"/>
        </w:rPr>
        <w:t>vitamina D su značajno doprin</w:t>
      </w:r>
      <w:r w:rsidR="00955B83">
        <w:rPr>
          <w:rFonts w:cstheme="minorHAnsi"/>
        </w:rPr>
        <w:t>i</w:t>
      </w:r>
      <w:r>
        <w:rPr>
          <w:rFonts w:cstheme="minorHAnsi"/>
        </w:rPr>
        <w:t>jele i slijedeće uloge vitamina D</w:t>
      </w:r>
      <w:r w:rsidR="00B36E62">
        <w:rPr>
          <w:rFonts w:cstheme="minorHAnsi"/>
        </w:rPr>
        <w:t xml:space="preserve"> (8)</w:t>
      </w:r>
      <w:r>
        <w:rPr>
          <w:rFonts w:cstheme="minorHAnsi"/>
        </w:rPr>
        <w:t>:</w:t>
      </w:r>
    </w:p>
    <w:p w14:paraId="6668F04A" w14:textId="1AF9AACC" w:rsidR="00A34031" w:rsidRDefault="00BB1E75" w:rsidP="00BB1E7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B1E75">
        <w:rPr>
          <w:rFonts w:asciiTheme="minorHAnsi" w:hAnsiTheme="minorHAnsi" w:cstheme="minorHAnsi"/>
        </w:rPr>
        <w:t>karakter</w:t>
      </w:r>
      <w:r>
        <w:rPr>
          <w:rFonts w:asciiTheme="minorHAnsi" w:hAnsiTheme="minorHAnsi" w:cstheme="minorHAnsi"/>
        </w:rPr>
        <w:t>istični</w:t>
      </w:r>
      <w:proofErr w:type="spellEnd"/>
      <w:r w:rsidRPr="00BB1E75">
        <w:rPr>
          <w:rFonts w:asciiTheme="minorHAnsi" w:hAnsiTheme="minorHAnsi" w:cstheme="minorHAnsi"/>
        </w:rPr>
        <w:t xml:space="preserve"> vitamin D </w:t>
      </w:r>
      <w:proofErr w:type="spellStart"/>
      <w:r w:rsidRPr="00BB1E75">
        <w:rPr>
          <w:rFonts w:asciiTheme="minorHAnsi" w:hAnsiTheme="minorHAnsi" w:cstheme="minorHAnsi"/>
        </w:rPr>
        <w:t>receptor</w:t>
      </w:r>
      <w:r>
        <w:rPr>
          <w:rFonts w:asciiTheme="minorHAnsi" w:hAnsiTheme="minorHAnsi" w:cstheme="minorHAnsi"/>
        </w:rPr>
        <w:t>i</w:t>
      </w:r>
      <w:proofErr w:type="spellEnd"/>
      <w:r w:rsidRPr="00BB1E75">
        <w:rPr>
          <w:rFonts w:asciiTheme="minorHAnsi" w:hAnsiTheme="minorHAnsi" w:cstheme="minorHAnsi"/>
        </w:rPr>
        <w:t xml:space="preserve"> (</w:t>
      </w:r>
      <w:proofErr w:type="spellStart"/>
      <w:r w:rsidRPr="00BB1E75">
        <w:rPr>
          <w:rFonts w:asciiTheme="minorHAnsi" w:hAnsiTheme="minorHAnsi" w:cstheme="minorHAnsi"/>
        </w:rPr>
        <w:t>nuklearni</w:t>
      </w:r>
      <w:proofErr w:type="spellEnd"/>
      <w:r w:rsidRPr="00BB1E75">
        <w:rPr>
          <w:rFonts w:asciiTheme="minorHAnsi" w:hAnsiTheme="minorHAnsi" w:cstheme="minorHAnsi"/>
        </w:rPr>
        <w:t xml:space="preserve"> </w:t>
      </w:r>
      <w:proofErr w:type="spellStart"/>
      <w:r w:rsidRPr="00BB1E75">
        <w:rPr>
          <w:rFonts w:asciiTheme="minorHAnsi" w:hAnsiTheme="minorHAnsi" w:cstheme="minorHAnsi"/>
        </w:rPr>
        <w:t>i</w:t>
      </w:r>
      <w:proofErr w:type="spellEnd"/>
      <w:r w:rsidRPr="00BB1E75">
        <w:rPr>
          <w:rFonts w:asciiTheme="minorHAnsi" w:hAnsiTheme="minorHAnsi" w:cstheme="minorHAnsi"/>
        </w:rPr>
        <w:t xml:space="preserve"> </w:t>
      </w:r>
      <w:proofErr w:type="spellStart"/>
      <w:r w:rsidRPr="00BB1E75">
        <w:rPr>
          <w:rFonts w:asciiTheme="minorHAnsi" w:hAnsiTheme="minorHAnsi" w:cstheme="minorHAnsi"/>
        </w:rPr>
        <w:t>citostolični</w:t>
      </w:r>
      <w:proofErr w:type="spellEnd"/>
      <w:r w:rsidRPr="00BB1E75"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enzimatska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mašinerija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metabolizira</w:t>
      </w:r>
      <w:proofErr w:type="spellEnd"/>
      <w:r>
        <w:rPr>
          <w:rFonts w:asciiTheme="minorHAnsi" w:hAnsiTheme="minorHAnsi" w:cstheme="minorHAnsi"/>
        </w:rPr>
        <w:t xml:space="preserve"> vitamin D u </w:t>
      </w:r>
      <w:proofErr w:type="spellStart"/>
      <w:r>
        <w:rPr>
          <w:rFonts w:asciiTheme="minorHAnsi" w:hAnsiTheme="minorHAnsi" w:cstheme="minorHAnsi"/>
        </w:rPr>
        <w:t>različitim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tkivima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npr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adipozno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tkivo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mišići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pan</w:t>
      </w:r>
      <w:r w:rsidR="00955B8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reas</w:t>
      </w:r>
      <w:proofErr w:type="spellEnd"/>
      <w:r>
        <w:rPr>
          <w:rFonts w:asciiTheme="minorHAnsi" w:hAnsiTheme="minorHAnsi" w:cstheme="minorHAnsi"/>
        </w:rPr>
        <w:t>)</w:t>
      </w:r>
    </w:p>
    <w:p w14:paraId="3062B21C" w14:textId="6A6A5DAB" w:rsidR="00BB1E75" w:rsidRDefault="00BB1E75" w:rsidP="00BB1E7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uloga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ima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vezi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reguliranjem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preko</w:t>
      </w:r>
      <w:proofErr w:type="spellEnd"/>
      <w:r>
        <w:rPr>
          <w:rFonts w:asciiTheme="minorHAnsi" w:hAnsiTheme="minorHAnsi" w:cstheme="minorHAnsi"/>
        </w:rPr>
        <w:t xml:space="preserve"> 200 </w:t>
      </w:r>
      <w:proofErr w:type="spellStart"/>
      <w:r>
        <w:rPr>
          <w:rFonts w:asciiTheme="minorHAnsi" w:hAnsiTheme="minorHAnsi" w:cstheme="minorHAnsi"/>
        </w:rPr>
        <w:t>gena</w:t>
      </w:r>
      <w:proofErr w:type="spellEnd"/>
    </w:p>
    <w:p w14:paraId="0D9864FB" w14:textId="61B99CBB" w:rsidR="00BB1E75" w:rsidRDefault="00BB1E75" w:rsidP="00BB1E75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rizicima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povezanim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suboptimalnom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koncentracijom</w:t>
      </w:r>
      <w:proofErr w:type="spellEnd"/>
      <w:r>
        <w:rPr>
          <w:rFonts w:asciiTheme="minorHAnsi" w:hAnsiTheme="minorHAnsi" w:cstheme="minorHAnsi"/>
        </w:rPr>
        <w:t xml:space="preserve"> 25(OH)D </w:t>
      </w:r>
      <w:proofErr w:type="spellStart"/>
      <w:r w:rsidR="002D2F2A"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prisustvom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višestrukih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oboljenja</w:t>
      </w:r>
      <w:proofErr w:type="spellEnd"/>
    </w:p>
    <w:p w14:paraId="5332B74F" w14:textId="402AFD8F" w:rsidR="00BB1E75" w:rsidRDefault="00BB1E75" w:rsidP="00BB1E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Stoga je u pedijatrijskoj praksi vrlo važno otvoriti diskusiju i o </w:t>
      </w:r>
      <w:proofErr w:type="spellStart"/>
      <w:r w:rsidRPr="009E462C">
        <w:rPr>
          <w:rFonts w:cstheme="minorHAnsi"/>
          <w:b/>
        </w:rPr>
        <w:t>nekoštanim</w:t>
      </w:r>
      <w:proofErr w:type="spellEnd"/>
      <w:r w:rsidRPr="009E462C">
        <w:rPr>
          <w:rFonts w:cstheme="minorHAnsi"/>
          <w:b/>
        </w:rPr>
        <w:t xml:space="preserve"> ulogama vitamina D</w:t>
      </w:r>
      <w:r>
        <w:rPr>
          <w:rFonts w:cstheme="minorHAnsi"/>
        </w:rPr>
        <w:t>, te pretpostaviti sve neophodne mjere za prevenciju deficijencije vitamina D.</w:t>
      </w:r>
    </w:p>
    <w:p w14:paraId="4C4E1FC7" w14:textId="77270691" w:rsidR="00BB1E75" w:rsidRDefault="00946F1C" w:rsidP="00BB1E75">
      <w:p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Nekoštane</w:t>
      </w:r>
      <w:proofErr w:type="spellEnd"/>
      <w:r>
        <w:rPr>
          <w:rFonts w:cstheme="minorHAnsi"/>
        </w:rPr>
        <w:t xml:space="preserve"> k</w:t>
      </w:r>
      <w:r w:rsidR="00BB1E75">
        <w:rPr>
          <w:rFonts w:cstheme="minorHAnsi"/>
        </w:rPr>
        <w:t>liničke karakteristike deficijencije vitamina D kod djece i adolescenat</w:t>
      </w:r>
      <w:r>
        <w:rPr>
          <w:rFonts w:cstheme="minorHAnsi"/>
        </w:rPr>
        <w:t xml:space="preserve">a nisu zanemarive. </w:t>
      </w:r>
    </w:p>
    <w:p w14:paraId="2F33E85B" w14:textId="261A869D" w:rsidR="00946F1C" w:rsidRDefault="00946F1C" w:rsidP="00190086">
      <w:pPr>
        <w:spacing w:line="276" w:lineRule="auto"/>
        <w:jc w:val="both"/>
        <w:rPr>
          <w:rFonts w:cstheme="minorHAnsi"/>
        </w:rPr>
      </w:pPr>
      <w:r w:rsidRPr="00C37E2E">
        <w:rPr>
          <w:rFonts w:cstheme="minorHAnsi"/>
          <w:b/>
          <w:i/>
        </w:rPr>
        <w:t>Prijevremeno rođenje i deficijencija vitamina D</w:t>
      </w:r>
      <w:r>
        <w:rPr>
          <w:rFonts w:cstheme="minorHAnsi"/>
        </w:rPr>
        <w:t xml:space="preserve">: Treći trimestar </w:t>
      </w:r>
      <w:proofErr w:type="spellStart"/>
      <w:r>
        <w:rPr>
          <w:rFonts w:cstheme="minorHAnsi"/>
        </w:rPr>
        <w:t>gestacije</w:t>
      </w:r>
      <w:proofErr w:type="spellEnd"/>
      <w:r>
        <w:rPr>
          <w:rFonts w:cstheme="minorHAnsi"/>
        </w:rPr>
        <w:t xml:space="preserve"> je najvažniji period u smislu </w:t>
      </w:r>
      <w:proofErr w:type="spellStart"/>
      <w:r>
        <w:rPr>
          <w:rFonts w:cstheme="minorHAnsi"/>
        </w:rPr>
        <w:t>dobijanja</w:t>
      </w:r>
      <w:proofErr w:type="spellEnd"/>
      <w:r>
        <w:rPr>
          <w:rFonts w:cstheme="minorHAnsi"/>
        </w:rPr>
        <w:t xml:space="preserve"> koštane mineralne mase. Samim tim, u ovom periodu postoji rizik od povećanja promjena na kostima kao posljedica deficijencije vitamina D.</w:t>
      </w:r>
      <w:r w:rsidR="004A789E">
        <w:rPr>
          <w:rFonts w:cstheme="minorHAnsi"/>
        </w:rPr>
        <w:t xml:space="preserve"> (9)</w:t>
      </w:r>
      <w:r>
        <w:rPr>
          <w:rFonts w:cstheme="minorHAnsi"/>
        </w:rPr>
        <w:t xml:space="preserve"> Jedna od studija nedavno je sprovedena na 100 </w:t>
      </w:r>
      <w:r w:rsidR="00F97A67">
        <w:rPr>
          <w:rFonts w:cstheme="minorHAnsi"/>
        </w:rPr>
        <w:t>nedonoščadi rođene u</w:t>
      </w:r>
      <w:r>
        <w:rPr>
          <w:rFonts w:cstheme="minorHAnsi"/>
        </w:rPr>
        <w:t xml:space="preserve"> dobi od 23. do 27. sedmica i sa prosječnom težinom od 770 g</w:t>
      </w:r>
      <w:r w:rsidR="00445B71">
        <w:rPr>
          <w:rFonts w:cstheme="minorHAnsi"/>
        </w:rPr>
        <w:t>, a koj</w:t>
      </w:r>
      <w:r w:rsidR="00F97A67">
        <w:rPr>
          <w:rFonts w:cstheme="minorHAnsi"/>
        </w:rPr>
        <w:t>i</w:t>
      </w:r>
      <w:r w:rsidR="00445B71">
        <w:rPr>
          <w:rFonts w:cstheme="minorHAnsi"/>
        </w:rPr>
        <w:t xml:space="preserve"> su primali različite doze vitamina D. U 28. danu života, deficijencija vitamina D je evidentirana kod 41% </w:t>
      </w:r>
      <w:r w:rsidR="00F97A67">
        <w:rPr>
          <w:rFonts w:cstheme="minorHAnsi"/>
        </w:rPr>
        <w:t>nedonoščadi</w:t>
      </w:r>
      <w:r w:rsidR="00445B71">
        <w:rPr>
          <w:rFonts w:cstheme="minorHAnsi"/>
        </w:rPr>
        <w:t xml:space="preserve"> iz </w:t>
      </w:r>
      <w:proofErr w:type="spellStart"/>
      <w:r w:rsidR="00445B71">
        <w:rPr>
          <w:rFonts w:cstheme="minorHAnsi"/>
        </w:rPr>
        <w:t>placebo</w:t>
      </w:r>
      <w:proofErr w:type="spellEnd"/>
      <w:r w:rsidR="00445B71">
        <w:rPr>
          <w:rFonts w:cstheme="minorHAnsi"/>
        </w:rPr>
        <w:t xml:space="preserve"> grupe, kod 16% </w:t>
      </w:r>
      <w:r w:rsidR="00F97A67">
        <w:rPr>
          <w:rFonts w:cstheme="minorHAnsi"/>
        </w:rPr>
        <w:t>nedonoščadi</w:t>
      </w:r>
      <w:r w:rsidR="00445B71">
        <w:rPr>
          <w:rFonts w:cstheme="minorHAnsi"/>
        </w:rPr>
        <w:t xml:space="preserve"> iz grupe koja je primala 200 IU/dan i 0% kod grupe </w:t>
      </w:r>
      <w:r w:rsidR="00F97A67">
        <w:rPr>
          <w:rFonts w:cstheme="minorHAnsi"/>
        </w:rPr>
        <w:t>nedonoščadi</w:t>
      </w:r>
      <w:r w:rsidR="00445B71">
        <w:rPr>
          <w:rFonts w:cstheme="minorHAnsi"/>
        </w:rPr>
        <w:t xml:space="preserve"> koja su primala 800 IU/dan.</w:t>
      </w:r>
      <w:r w:rsidR="005005A6">
        <w:rPr>
          <w:rFonts w:cstheme="minorHAnsi"/>
        </w:rPr>
        <w:t xml:space="preserve"> </w:t>
      </w:r>
      <w:r w:rsidR="004A5106">
        <w:rPr>
          <w:rFonts w:cstheme="minorHAnsi"/>
        </w:rPr>
        <w:t>(10)</w:t>
      </w:r>
      <w:r w:rsidR="00190086">
        <w:rPr>
          <w:rFonts w:cstheme="minorHAnsi"/>
        </w:rPr>
        <w:t xml:space="preserve"> </w:t>
      </w:r>
      <w:r w:rsidR="00190086" w:rsidRPr="00190086">
        <w:rPr>
          <w:rFonts w:cstheme="minorHAnsi"/>
        </w:rPr>
        <w:t xml:space="preserve">Smjernice Američke </w:t>
      </w:r>
      <w:r w:rsidR="00190086">
        <w:rPr>
          <w:rFonts w:cstheme="minorHAnsi"/>
        </w:rPr>
        <w:t xml:space="preserve">pedijatrijske </w:t>
      </w:r>
      <w:r w:rsidR="00190086" w:rsidRPr="00190086">
        <w:rPr>
          <w:rFonts w:cstheme="minorHAnsi"/>
        </w:rPr>
        <w:t>akademije</w:t>
      </w:r>
      <w:r w:rsidR="00190086">
        <w:rPr>
          <w:rFonts w:cstheme="minorHAnsi"/>
        </w:rPr>
        <w:t xml:space="preserve"> (</w:t>
      </w:r>
      <w:r w:rsidR="00190086" w:rsidRPr="00190086">
        <w:rPr>
          <w:rFonts w:cstheme="minorHAnsi"/>
        </w:rPr>
        <w:t xml:space="preserve">American </w:t>
      </w:r>
      <w:proofErr w:type="spellStart"/>
      <w:r w:rsidR="00190086" w:rsidRPr="00190086">
        <w:rPr>
          <w:rFonts w:cstheme="minorHAnsi"/>
        </w:rPr>
        <w:t>Academy</w:t>
      </w:r>
      <w:proofErr w:type="spellEnd"/>
      <w:r w:rsidR="00190086" w:rsidRPr="00190086">
        <w:rPr>
          <w:rFonts w:cstheme="minorHAnsi"/>
        </w:rPr>
        <w:t xml:space="preserve"> </w:t>
      </w:r>
      <w:proofErr w:type="spellStart"/>
      <w:r w:rsidR="00190086" w:rsidRPr="00190086">
        <w:rPr>
          <w:rFonts w:cstheme="minorHAnsi"/>
        </w:rPr>
        <w:t>of</w:t>
      </w:r>
      <w:proofErr w:type="spellEnd"/>
      <w:r w:rsidR="00190086" w:rsidRPr="00190086">
        <w:rPr>
          <w:rFonts w:cstheme="minorHAnsi"/>
        </w:rPr>
        <w:t xml:space="preserve"> </w:t>
      </w:r>
      <w:proofErr w:type="spellStart"/>
      <w:r w:rsidR="00190086" w:rsidRPr="00190086">
        <w:rPr>
          <w:rFonts w:cstheme="minorHAnsi"/>
        </w:rPr>
        <w:t>Pediatrics</w:t>
      </w:r>
      <w:proofErr w:type="spellEnd"/>
      <w:r w:rsidR="00190086">
        <w:rPr>
          <w:rFonts w:cstheme="minorHAnsi"/>
        </w:rPr>
        <w:t xml:space="preserve"> – AAP)</w:t>
      </w:r>
      <w:r w:rsidR="00190086" w:rsidRPr="00190086">
        <w:rPr>
          <w:rFonts w:cstheme="minorHAnsi"/>
        </w:rPr>
        <w:t xml:space="preserve"> preporučuju nadopunu od 200</w:t>
      </w:r>
      <w:r w:rsidR="00190086">
        <w:rPr>
          <w:rFonts w:cstheme="minorHAnsi"/>
        </w:rPr>
        <w:t xml:space="preserve"> do </w:t>
      </w:r>
      <w:r w:rsidR="00190086" w:rsidRPr="00190086">
        <w:rPr>
          <w:rFonts w:cstheme="minorHAnsi"/>
        </w:rPr>
        <w:t>400 IU/dan kod enteralno hranjen</w:t>
      </w:r>
      <w:r w:rsidR="00955B83">
        <w:rPr>
          <w:rFonts w:cstheme="minorHAnsi"/>
        </w:rPr>
        <w:t>e</w:t>
      </w:r>
      <w:r w:rsidR="00190086" w:rsidRPr="00190086">
        <w:rPr>
          <w:rFonts w:cstheme="minorHAnsi"/>
        </w:rPr>
        <w:t xml:space="preserve"> nedonoščadi, dok je u </w:t>
      </w:r>
      <w:proofErr w:type="spellStart"/>
      <w:r w:rsidR="00190086" w:rsidRPr="00190086">
        <w:rPr>
          <w:rFonts w:cstheme="minorHAnsi"/>
        </w:rPr>
        <w:t>Europi</w:t>
      </w:r>
      <w:proofErr w:type="spellEnd"/>
      <w:r w:rsidR="00190086" w:rsidRPr="00190086">
        <w:rPr>
          <w:rFonts w:cstheme="minorHAnsi"/>
        </w:rPr>
        <w:t xml:space="preserve">, prema ESPGHAN dodatak vitamina D za </w:t>
      </w:r>
      <w:r w:rsidR="00190086">
        <w:rPr>
          <w:rFonts w:cstheme="minorHAnsi"/>
        </w:rPr>
        <w:t>nedonoščad</w:t>
      </w:r>
      <w:r w:rsidR="00190086" w:rsidRPr="00190086">
        <w:rPr>
          <w:rFonts w:cstheme="minorHAnsi"/>
        </w:rPr>
        <w:t xml:space="preserve"> treba dostići 800–1000 IU/dan.</w:t>
      </w:r>
      <w:r w:rsidR="00190086">
        <w:rPr>
          <w:rFonts w:cstheme="minorHAnsi"/>
        </w:rPr>
        <w:t xml:space="preserve"> </w:t>
      </w:r>
      <w:r w:rsidR="00190086" w:rsidRPr="00190086">
        <w:rPr>
          <w:rFonts w:cstheme="minorHAnsi"/>
        </w:rPr>
        <w:t xml:space="preserve">Nedavno su objavljene odvojene smjernice za </w:t>
      </w:r>
      <w:r w:rsidR="00955B83">
        <w:rPr>
          <w:rFonts w:cstheme="minorHAnsi"/>
        </w:rPr>
        <w:t>s</w:t>
      </w:r>
      <w:r w:rsidR="00190086">
        <w:rPr>
          <w:rFonts w:cstheme="minorHAnsi"/>
        </w:rPr>
        <w:t>rednju</w:t>
      </w:r>
      <w:r w:rsidR="00190086" w:rsidRPr="00190086">
        <w:rPr>
          <w:rFonts w:cstheme="minorHAnsi"/>
        </w:rPr>
        <w:t xml:space="preserve"> </w:t>
      </w:r>
      <w:proofErr w:type="spellStart"/>
      <w:r w:rsidR="00190086" w:rsidRPr="00190086">
        <w:rPr>
          <w:rFonts w:cstheme="minorHAnsi"/>
        </w:rPr>
        <w:t>Europu</w:t>
      </w:r>
      <w:proofErr w:type="spellEnd"/>
      <w:r w:rsidR="00190086" w:rsidRPr="00190086">
        <w:rPr>
          <w:rFonts w:cstheme="minorHAnsi"/>
        </w:rPr>
        <w:t xml:space="preserve">. </w:t>
      </w:r>
      <w:r w:rsidR="00823424">
        <w:rPr>
          <w:rFonts w:cstheme="minorHAnsi"/>
        </w:rPr>
        <w:t xml:space="preserve">Nedonoščad </w:t>
      </w:r>
      <w:r w:rsidR="00190086" w:rsidRPr="00190086">
        <w:rPr>
          <w:rFonts w:cstheme="minorHAnsi"/>
        </w:rPr>
        <w:t>hranjena enteralno trebala bi primati dodatak vit</w:t>
      </w:r>
      <w:r w:rsidR="00190086">
        <w:rPr>
          <w:rFonts w:cstheme="minorHAnsi"/>
        </w:rPr>
        <w:t>amina</w:t>
      </w:r>
      <w:r w:rsidR="00190086" w:rsidRPr="00190086">
        <w:rPr>
          <w:rFonts w:cstheme="minorHAnsi"/>
        </w:rPr>
        <w:t xml:space="preserve"> D od 400 do 800 IU/dan u prvim danima života</w:t>
      </w:r>
      <w:r w:rsidR="00F97A67">
        <w:rPr>
          <w:rFonts w:cstheme="minorHAnsi"/>
        </w:rPr>
        <w:t xml:space="preserve">; </w:t>
      </w:r>
      <w:r w:rsidR="00190086" w:rsidRPr="00190086">
        <w:rPr>
          <w:rFonts w:cstheme="minorHAnsi"/>
        </w:rPr>
        <w:t>nastaviti do 40</w:t>
      </w:r>
      <w:r w:rsidR="00190086">
        <w:rPr>
          <w:rFonts w:cstheme="minorHAnsi"/>
        </w:rPr>
        <w:t xml:space="preserve">. sedmice </w:t>
      </w:r>
      <w:proofErr w:type="spellStart"/>
      <w:r w:rsidR="00190086">
        <w:rPr>
          <w:rFonts w:cstheme="minorHAnsi"/>
        </w:rPr>
        <w:t>gestacije</w:t>
      </w:r>
      <w:proofErr w:type="spellEnd"/>
      <w:r w:rsidR="00190086">
        <w:rPr>
          <w:rFonts w:cstheme="minorHAnsi"/>
        </w:rPr>
        <w:t>.</w:t>
      </w:r>
      <w:r w:rsidR="00190086" w:rsidRPr="00190086">
        <w:rPr>
          <w:rFonts w:cstheme="minorHAnsi"/>
        </w:rPr>
        <w:t xml:space="preserve"> Nakon toga treba slijediti 400 IU/dan.</w:t>
      </w:r>
    </w:p>
    <w:p w14:paraId="0C15E1F8" w14:textId="3AE0A2F2" w:rsidR="00445B71" w:rsidRDefault="00445B71" w:rsidP="00BB1E75">
      <w:pPr>
        <w:spacing w:line="276" w:lineRule="auto"/>
        <w:jc w:val="both"/>
        <w:rPr>
          <w:rFonts w:cstheme="minorHAnsi"/>
        </w:rPr>
      </w:pPr>
      <w:r w:rsidRPr="00C37E2E">
        <w:rPr>
          <w:rFonts w:cstheme="minorHAnsi"/>
          <w:b/>
          <w:i/>
        </w:rPr>
        <w:t>Pretilost i deficijencija vitamina D</w:t>
      </w:r>
      <w:r>
        <w:rPr>
          <w:rFonts w:cstheme="minorHAnsi"/>
        </w:rPr>
        <w:t xml:space="preserve">: Dokazi </w:t>
      </w:r>
      <w:r w:rsidR="003A6EC0">
        <w:rPr>
          <w:rFonts w:cstheme="minorHAnsi"/>
        </w:rPr>
        <w:t xml:space="preserve">prikupljeni iz </w:t>
      </w:r>
      <w:r w:rsidR="00F20933">
        <w:rPr>
          <w:rFonts w:cstheme="minorHAnsi"/>
        </w:rPr>
        <w:t>uzorka prepubertetske djece pokazuju obrnutu povezanost između serumskih nivoa 25(OH)D</w:t>
      </w:r>
      <w:r w:rsidR="00AD2703">
        <w:rPr>
          <w:rFonts w:cstheme="minorHAnsi"/>
        </w:rPr>
        <w:t xml:space="preserve"> i indikatora adipoznosti</w:t>
      </w:r>
      <w:r w:rsidR="00AA126B">
        <w:rPr>
          <w:rFonts w:cstheme="minorHAnsi"/>
        </w:rPr>
        <w:t xml:space="preserve"> (</w:t>
      </w:r>
      <w:r w:rsidR="00386290">
        <w:rPr>
          <w:rFonts w:cstheme="minorHAnsi"/>
        </w:rPr>
        <w:t>11, 12)</w:t>
      </w:r>
      <w:r w:rsidR="00AD2703">
        <w:rPr>
          <w:rFonts w:cstheme="minorHAnsi"/>
        </w:rPr>
        <w:t xml:space="preserve">, a što je konzistentno sa hipotezom o odlaganju vitamina D u adipozno tkivo uslijed </w:t>
      </w:r>
      <w:proofErr w:type="spellStart"/>
      <w:r w:rsidR="00AD2703">
        <w:rPr>
          <w:rFonts w:cstheme="minorHAnsi"/>
        </w:rPr>
        <w:t>liposolubilnih</w:t>
      </w:r>
      <w:proofErr w:type="spellEnd"/>
      <w:r w:rsidR="00AD2703">
        <w:rPr>
          <w:rFonts w:cstheme="minorHAnsi"/>
        </w:rPr>
        <w:t xml:space="preserve"> karak</w:t>
      </w:r>
      <w:r w:rsidR="00955B83">
        <w:rPr>
          <w:rFonts w:cstheme="minorHAnsi"/>
        </w:rPr>
        <w:t>t</w:t>
      </w:r>
      <w:r w:rsidR="00AD2703">
        <w:rPr>
          <w:rFonts w:cstheme="minorHAnsi"/>
        </w:rPr>
        <w:t>eristika</w:t>
      </w:r>
      <w:r w:rsidR="00B829E3">
        <w:rPr>
          <w:rFonts w:cstheme="minorHAnsi"/>
        </w:rPr>
        <w:t xml:space="preserve"> (13)</w:t>
      </w:r>
      <w:r w:rsidR="00AD2703">
        <w:rPr>
          <w:rFonts w:cstheme="minorHAnsi"/>
        </w:rPr>
        <w:t xml:space="preserve">. </w:t>
      </w:r>
      <w:r w:rsidR="008C5034">
        <w:rPr>
          <w:rFonts w:cstheme="minorHAnsi"/>
        </w:rPr>
        <w:t xml:space="preserve">Ovi nalazi su konzistentni sa nedavnom studijom koja demonstrira kako prevelika težina kod djece ima </w:t>
      </w:r>
      <w:proofErr w:type="spellStart"/>
      <w:r w:rsidR="008C5034">
        <w:rPr>
          <w:rFonts w:cstheme="minorHAnsi"/>
        </w:rPr>
        <w:t>efekat</w:t>
      </w:r>
      <w:proofErr w:type="spellEnd"/>
      <w:r w:rsidR="008C5034">
        <w:rPr>
          <w:rFonts w:cstheme="minorHAnsi"/>
        </w:rPr>
        <w:t xml:space="preserve"> na</w:t>
      </w:r>
      <w:r w:rsidR="00CA7336">
        <w:rPr>
          <w:rFonts w:cstheme="minorHAnsi"/>
        </w:rPr>
        <w:t xml:space="preserve"> suplementaciju djece vitaminom D, te kako ova djeca postižu niže nivoe 25(OH)D; samim tim, djeca sa prekomjernom težinom mogu trebati veće doze vitamina D nego djeca normalne težine da bi postigli iste 25(OH)D nivoe</w:t>
      </w:r>
      <w:r w:rsidR="00B2215C">
        <w:rPr>
          <w:rFonts w:cstheme="minorHAnsi"/>
        </w:rPr>
        <w:t xml:space="preserve"> (</w:t>
      </w:r>
      <w:r w:rsidR="009F13D3">
        <w:rPr>
          <w:rFonts w:cstheme="minorHAnsi"/>
        </w:rPr>
        <w:t>14)</w:t>
      </w:r>
      <w:r w:rsidR="00CA7336">
        <w:rPr>
          <w:rFonts w:cstheme="minorHAnsi"/>
        </w:rPr>
        <w:t xml:space="preserve">. Uzimajući u obzir efekte prekomjerne debljine na </w:t>
      </w:r>
      <w:proofErr w:type="spellStart"/>
      <w:r w:rsidR="00CA7336">
        <w:rPr>
          <w:rFonts w:cstheme="minorHAnsi"/>
        </w:rPr>
        <w:t>biodostupnost</w:t>
      </w:r>
      <w:proofErr w:type="spellEnd"/>
      <w:r w:rsidR="00CA7336">
        <w:rPr>
          <w:rFonts w:cstheme="minorHAnsi"/>
        </w:rPr>
        <w:t xml:space="preserve"> vitamina D, zemlje </w:t>
      </w:r>
      <w:r w:rsidR="00955B83">
        <w:rPr>
          <w:rFonts w:cstheme="minorHAnsi"/>
        </w:rPr>
        <w:t>s</w:t>
      </w:r>
      <w:r w:rsidR="00CA7336">
        <w:rPr>
          <w:rFonts w:cstheme="minorHAnsi"/>
        </w:rPr>
        <w:t xml:space="preserve">rednje </w:t>
      </w:r>
      <w:proofErr w:type="spellStart"/>
      <w:r w:rsidR="00CA7336">
        <w:rPr>
          <w:rFonts w:cstheme="minorHAnsi"/>
        </w:rPr>
        <w:t>Europe</w:t>
      </w:r>
      <w:proofErr w:type="spellEnd"/>
      <w:r w:rsidR="00CA7336">
        <w:rPr>
          <w:rFonts w:cstheme="minorHAnsi"/>
        </w:rPr>
        <w:t xml:space="preserve"> su izdale preporuke za djecu i omladinu sa prekomjernom težinom: suplementacija dozama od 1.200 do 2.000 IU/dan (30 – 50 </w:t>
      </w:r>
      <w:proofErr w:type="spellStart"/>
      <w:r w:rsidR="00CA7336">
        <w:rPr>
          <w:rFonts w:cstheme="minorHAnsi"/>
        </w:rPr>
        <w:t>mcg</w:t>
      </w:r>
      <w:proofErr w:type="spellEnd"/>
      <w:r w:rsidR="00CA7336">
        <w:rPr>
          <w:rFonts w:cstheme="minorHAnsi"/>
        </w:rPr>
        <w:t>/dan) ovisno o ozbiljnosti pretilosti tokom jeseni i zime; ipak, preporuč</w:t>
      </w:r>
      <w:r w:rsidR="00955B83">
        <w:rPr>
          <w:rFonts w:cstheme="minorHAnsi"/>
        </w:rPr>
        <w:t>uje</w:t>
      </w:r>
      <w:r w:rsidR="00CA7336">
        <w:rPr>
          <w:rFonts w:cstheme="minorHAnsi"/>
        </w:rPr>
        <w:t xml:space="preserve"> se korištenje i tokom cijele godine ukoliko nije dovoljna sinteza  kožom tokom ljeta</w:t>
      </w:r>
      <w:r w:rsidR="00EA6E08">
        <w:rPr>
          <w:rFonts w:cstheme="minorHAnsi"/>
        </w:rPr>
        <w:t xml:space="preserve"> (15)</w:t>
      </w:r>
      <w:r w:rsidR="00CA7336">
        <w:rPr>
          <w:rFonts w:cstheme="minorHAnsi"/>
        </w:rPr>
        <w:t>.</w:t>
      </w:r>
    </w:p>
    <w:p w14:paraId="288C3FDE" w14:textId="3617EB39" w:rsidR="00CA7336" w:rsidRDefault="00CA7336" w:rsidP="00BB1E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Dokazi sugerišu da aktivna forma vitamina D </w:t>
      </w:r>
      <w:r w:rsidR="00433632">
        <w:rPr>
          <w:rFonts w:cstheme="minorHAnsi"/>
        </w:rPr>
        <w:t>(</w:t>
      </w:r>
      <w:r>
        <w:rPr>
          <w:rFonts w:cstheme="minorHAnsi"/>
        </w:rPr>
        <w:t xml:space="preserve">1,25(OH)2D) regulira transkripciju gena kod </w:t>
      </w:r>
      <w:proofErr w:type="spellStart"/>
      <w:r>
        <w:rPr>
          <w:rFonts w:cstheme="minorHAnsi"/>
        </w:rPr>
        <w:t>adipogeneze</w:t>
      </w:r>
      <w:proofErr w:type="spellEnd"/>
      <w:r>
        <w:rPr>
          <w:rFonts w:cstheme="minorHAnsi"/>
        </w:rPr>
        <w:t>, upalu, te inzulinsku rezistenciju u adipoznom tkivu pretilih pacijenata</w:t>
      </w:r>
      <w:r w:rsidR="009B69D3">
        <w:rPr>
          <w:rFonts w:cstheme="minorHAnsi"/>
        </w:rPr>
        <w:t xml:space="preserve"> (16)</w:t>
      </w:r>
      <w:r>
        <w:rPr>
          <w:rFonts w:cstheme="minorHAnsi"/>
        </w:rPr>
        <w:t xml:space="preserve">. </w:t>
      </w:r>
    </w:p>
    <w:p w14:paraId="2DAFCAFB" w14:textId="787FC090" w:rsidR="00CA7336" w:rsidRDefault="00CA7336" w:rsidP="00BB1E7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Dodatno, u mišićima i pankreasu 1,25(OH)2D može poboljšati </w:t>
      </w:r>
      <w:r w:rsidR="00F4136C">
        <w:rPr>
          <w:rFonts w:cstheme="minorHAnsi"/>
        </w:rPr>
        <w:t xml:space="preserve">inzulinsku osjetljivost kroz regulaciju protoka kalcija u ovim tkivima, kontrolirajući inzulinsku sekreciju u </w:t>
      </w:r>
      <w:proofErr w:type="spellStart"/>
      <w:r w:rsidR="00F4136C">
        <w:rPr>
          <w:rFonts w:cstheme="minorHAnsi"/>
        </w:rPr>
        <w:t>beta</w:t>
      </w:r>
      <w:proofErr w:type="spellEnd"/>
      <w:r w:rsidR="00F4136C">
        <w:rPr>
          <w:rFonts w:cstheme="minorHAnsi"/>
        </w:rPr>
        <w:t xml:space="preserve"> stanicama pankreasa i povećavajući ekspresiju inzulinskih receptora u perifer</w:t>
      </w:r>
      <w:r w:rsidR="00955B83">
        <w:rPr>
          <w:rFonts w:cstheme="minorHAnsi"/>
        </w:rPr>
        <w:t>n</w:t>
      </w:r>
      <w:r w:rsidR="00F4136C">
        <w:rPr>
          <w:rFonts w:cstheme="minorHAnsi"/>
        </w:rPr>
        <w:t>im tkivima.</w:t>
      </w:r>
      <w:r w:rsidR="0075492B">
        <w:rPr>
          <w:rFonts w:cstheme="minorHAnsi"/>
        </w:rPr>
        <w:t xml:space="preserve"> (17)</w:t>
      </w:r>
      <w:r w:rsidR="00F4136C">
        <w:rPr>
          <w:rFonts w:cstheme="minorHAnsi"/>
        </w:rPr>
        <w:t xml:space="preserve"> Posljednji rezultati iz o</w:t>
      </w:r>
      <w:r w:rsidR="00955B83">
        <w:rPr>
          <w:rFonts w:cstheme="minorHAnsi"/>
        </w:rPr>
        <w:t>ps</w:t>
      </w:r>
      <w:r w:rsidR="00F4136C">
        <w:rPr>
          <w:rFonts w:cstheme="minorHAnsi"/>
        </w:rPr>
        <w:t>ervacije prepubertetske djece pokazuju blagu obrnutu povezanost između</w:t>
      </w:r>
      <w:r w:rsidR="00955B83">
        <w:rPr>
          <w:rFonts w:cstheme="minorHAnsi"/>
        </w:rPr>
        <w:t xml:space="preserve"> nivoa</w:t>
      </w:r>
      <w:r w:rsidR="00F4136C">
        <w:rPr>
          <w:rFonts w:cstheme="minorHAnsi"/>
        </w:rPr>
        <w:t xml:space="preserve"> 25(OH)D </w:t>
      </w:r>
      <w:r w:rsidR="00955B83">
        <w:rPr>
          <w:rFonts w:cstheme="minorHAnsi"/>
        </w:rPr>
        <w:t xml:space="preserve">u </w:t>
      </w:r>
      <w:r w:rsidR="00F4136C">
        <w:rPr>
          <w:rFonts w:cstheme="minorHAnsi"/>
        </w:rPr>
        <w:t>serum</w:t>
      </w:r>
      <w:r w:rsidR="00955B83">
        <w:rPr>
          <w:rFonts w:cstheme="minorHAnsi"/>
        </w:rPr>
        <w:t>u</w:t>
      </w:r>
      <w:r w:rsidR="00F4136C">
        <w:rPr>
          <w:rFonts w:cstheme="minorHAnsi"/>
        </w:rPr>
        <w:t xml:space="preserve"> i indikatora inzulinske rezistencije, čak i nakon prilagodbe na adipozitet. </w:t>
      </w:r>
      <w:r w:rsidR="009B2699">
        <w:rPr>
          <w:rFonts w:cstheme="minorHAnsi"/>
        </w:rPr>
        <w:t>Tzv</w:t>
      </w:r>
      <w:r w:rsidR="00EA0C66">
        <w:rPr>
          <w:rFonts w:cstheme="minorHAnsi"/>
        </w:rPr>
        <w:t>.</w:t>
      </w:r>
      <w:r w:rsidR="009B2699">
        <w:rPr>
          <w:rFonts w:cstheme="minorHAnsi"/>
        </w:rPr>
        <w:t xml:space="preserve"> </w:t>
      </w:r>
      <w:proofErr w:type="spellStart"/>
      <w:r w:rsidR="009B2699">
        <w:rPr>
          <w:rFonts w:cstheme="minorHAnsi"/>
        </w:rPr>
        <w:t>cut</w:t>
      </w:r>
      <w:r w:rsidR="00433632">
        <w:rPr>
          <w:rFonts w:cstheme="minorHAnsi"/>
        </w:rPr>
        <w:t>-</w:t>
      </w:r>
      <w:r w:rsidR="009B2699">
        <w:rPr>
          <w:rFonts w:cstheme="minorHAnsi"/>
        </w:rPr>
        <w:t>off</w:t>
      </w:r>
      <w:proofErr w:type="spellEnd"/>
      <w:r w:rsidR="009B2699">
        <w:rPr>
          <w:rFonts w:cstheme="minorHAnsi"/>
        </w:rPr>
        <w:t xml:space="preserve"> </w:t>
      </w:r>
      <w:proofErr w:type="spellStart"/>
      <w:r w:rsidR="009B2699">
        <w:rPr>
          <w:rFonts w:cstheme="minorHAnsi"/>
        </w:rPr>
        <w:t>point</w:t>
      </w:r>
      <w:proofErr w:type="spellEnd"/>
      <w:r w:rsidR="009B2699">
        <w:rPr>
          <w:rFonts w:cstheme="minorHAnsi"/>
        </w:rPr>
        <w:t xml:space="preserve"> </w:t>
      </w:r>
      <w:r w:rsidR="00320BAE">
        <w:rPr>
          <w:rFonts w:cstheme="minorHAnsi"/>
        </w:rPr>
        <w:t xml:space="preserve">od 75 </w:t>
      </w:r>
      <w:proofErr w:type="spellStart"/>
      <w:r w:rsidR="00320BAE">
        <w:rPr>
          <w:rFonts w:cstheme="minorHAnsi"/>
        </w:rPr>
        <w:t>nmol</w:t>
      </w:r>
      <w:proofErr w:type="spellEnd"/>
      <w:r w:rsidR="00320BAE">
        <w:rPr>
          <w:rFonts w:cstheme="minorHAnsi"/>
        </w:rPr>
        <w:t>/L 25(OH)D je najbolji prediktor za ova stanja.</w:t>
      </w:r>
      <w:r w:rsidR="00053BAF">
        <w:rPr>
          <w:rFonts w:cstheme="minorHAnsi"/>
        </w:rPr>
        <w:t xml:space="preserve"> (11)</w:t>
      </w:r>
      <w:r w:rsidR="00320BAE">
        <w:rPr>
          <w:rFonts w:cstheme="minorHAnsi"/>
        </w:rPr>
        <w:t xml:space="preserve"> Kontrolirana klinička studija sprovedena na pretiloj djeci i adolescentima</w:t>
      </w:r>
      <w:r w:rsidR="00433632">
        <w:rPr>
          <w:rFonts w:cstheme="minorHAnsi"/>
        </w:rPr>
        <w:t xml:space="preserve"> </w:t>
      </w:r>
      <w:r w:rsidR="00320BAE">
        <w:rPr>
          <w:rFonts w:cstheme="minorHAnsi"/>
        </w:rPr>
        <w:t xml:space="preserve">dobi od 9 do 19 godina je pokazala značajnu redukciju u </w:t>
      </w:r>
      <w:proofErr w:type="spellStart"/>
      <w:r w:rsidR="00320BAE">
        <w:rPr>
          <w:rFonts w:cstheme="minorHAnsi"/>
        </w:rPr>
        <w:t>homeostatskom</w:t>
      </w:r>
      <w:proofErr w:type="spellEnd"/>
      <w:r w:rsidR="00320BAE">
        <w:rPr>
          <w:rFonts w:cstheme="minorHAnsi"/>
        </w:rPr>
        <w:t xml:space="preserve"> modelu </w:t>
      </w:r>
      <w:r w:rsidR="00320BAE">
        <w:rPr>
          <w:rFonts w:cstheme="minorHAnsi"/>
        </w:rPr>
        <w:lastRenderedPageBreak/>
        <w:t xml:space="preserve">procjene inzulinske rezistencije (HOMA-IR) u aktivnoj grupi u odnosu na </w:t>
      </w:r>
      <w:proofErr w:type="spellStart"/>
      <w:r w:rsidR="00320BAE">
        <w:rPr>
          <w:rFonts w:cstheme="minorHAnsi"/>
        </w:rPr>
        <w:t>placebo</w:t>
      </w:r>
      <w:proofErr w:type="spellEnd"/>
      <w:r w:rsidR="00320BAE">
        <w:rPr>
          <w:rFonts w:cstheme="minorHAnsi"/>
        </w:rPr>
        <w:t xml:space="preserve"> grupu</w:t>
      </w:r>
      <w:r w:rsidR="00433632">
        <w:rPr>
          <w:rFonts w:cstheme="minorHAnsi"/>
        </w:rPr>
        <w:t xml:space="preserve"> </w:t>
      </w:r>
      <w:r w:rsidR="00320BAE">
        <w:rPr>
          <w:rFonts w:cstheme="minorHAnsi"/>
        </w:rPr>
        <w:t xml:space="preserve">nakon primjene 4.000 IU/dan vitamina D </w:t>
      </w:r>
      <w:r w:rsidR="00433632">
        <w:rPr>
          <w:rFonts w:cstheme="minorHAnsi"/>
        </w:rPr>
        <w:t>šest</w:t>
      </w:r>
      <w:r w:rsidR="00320BAE">
        <w:rPr>
          <w:rFonts w:cstheme="minorHAnsi"/>
        </w:rPr>
        <w:t xml:space="preserve"> mjeseci.</w:t>
      </w:r>
      <w:r w:rsidR="00A479D5">
        <w:rPr>
          <w:rFonts w:cstheme="minorHAnsi"/>
        </w:rPr>
        <w:t xml:space="preserve"> (18)</w:t>
      </w:r>
      <w:r w:rsidR="00320BAE">
        <w:rPr>
          <w:rFonts w:cstheme="minorHAnsi"/>
        </w:rPr>
        <w:t xml:space="preserve"> Dodatno, znanje o aktivnoj formi vitamina D kao hormona sa inzulin-sličnom aktivnošću kod djece istraživano je preko 20 godina, te je zaključeno da suplementacija vitaminom D smanjuje rizik od dijabetesa tip 1</w:t>
      </w:r>
      <w:r w:rsidR="00320BAE" w:rsidRPr="00245465">
        <w:rPr>
          <w:rFonts w:cstheme="minorHAnsi"/>
        </w:rPr>
        <w:t xml:space="preserve">. </w:t>
      </w:r>
      <w:r w:rsidR="00FB19CF" w:rsidRPr="00245465">
        <w:rPr>
          <w:rFonts w:cstheme="minorHAnsi"/>
        </w:rPr>
        <w:t>(19-23)</w:t>
      </w:r>
      <w:r w:rsidR="00FB19CF">
        <w:rPr>
          <w:rFonts w:cstheme="minorHAnsi"/>
        </w:rPr>
        <w:t xml:space="preserve"> </w:t>
      </w:r>
      <w:r w:rsidR="00320BAE">
        <w:rPr>
          <w:rFonts w:cstheme="minorHAnsi"/>
        </w:rPr>
        <w:t>Korelacija između dijabetesa tip 1 se može povezati sa sistemskom anti-</w:t>
      </w:r>
      <w:proofErr w:type="spellStart"/>
      <w:r w:rsidR="00320BAE">
        <w:rPr>
          <w:rFonts w:cstheme="minorHAnsi"/>
        </w:rPr>
        <w:t>inflamatornom</w:t>
      </w:r>
      <w:proofErr w:type="spellEnd"/>
      <w:r w:rsidR="00320BAE">
        <w:rPr>
          <w:rFonts w:cstheme="minorHAnsi"/>
        </w:rPr>
        <w:t xml:space="preserve"> aktivnošću vitamina D kao </w:t>
      </w:r>
      <w:proofErr w:type="spellStart"/>
      <w:r w:rsidR="00320BAE">
        <w:rPr>
          <w:rFonts w:cstheme="minorHAnsi"/>
        </w:rPr>
        <w:t>imunomodulatora</w:t>
      </w:r>
      <w:proofErr w:type="spellEnd"/>
      <w:r w:rsidR="00320BAE">
        <w:rPr>
          <w:rFonts w:cstheme="minorHAnsi"/>
        </w:rPr>
        <w:t xml:space="preserve"> sa djelovanjem na </w:t>
      </w:r>
      <w:proofErr w:type="spellStart"/>
      <w:r w:rsidR="00320BAE">
        <w:rPr>
          <w:rFonts w:cstheme="minorHAnsi"/>
        </w:rPr>
        <w:t>dendritima</w:t>
      </w:r>
      <w:proofErr w:type="spellEnd"/>
      <w:r w:rsidR="00320BAE">
        <w:rPr>
          <w:rFonts w:cstheme="minorHAnsi"/>
        </w:rPr>
        <w:t xml:space="preserve">, diferencijaciju T stanica i </w:t>
      </w:r>
      <w:proofErr w:type="spellStart"/>
      <w:r w:rsidR="00320BAE">
        <w:rPr>
          <w:rFonts w:cstheme="minorHAnsi"/>
        </w:rPr>
        <w:t>interferencom</w:t>
      </w:r>
      <w:proofErr w:type="spellEnd"/>
      <w:r w:rsidR="00320BAE">
        <w:rPr>
          <w:rFonts w:cstheme="minorHAnsi"/>
        </w:rPr>
        <w:t xml:space="preserve"> na stvaranje i aktivnost </w:t>
      </w:r>
      <w:proofErr w:type="spellStart"/>
      <w:r w:rsidR="00320BAE">
        <w:rPr>
          <w:rFonts w:cstheme="minorHAnsi"/>
        </w:rPr>
        <w:t>citokina</w:t>
      </w:r>
      <w:proofErr w:type="spellEnd"/>
      <w:r w:rsidR="00320BAE">
        <w:rPr>
          <w:rFonts w:cstheme="minorHAnsi"/>
        </w:rPr>
        <w:t>.</w:t>
      </w:r>
      <w:r w:rsidR="00EE24E3">
        <w:rPr>
          <w:rFonts w:cstheme="minorHAnsi"/>
        </w:rPr>
        <w:t xml:space="preserve"> (24)</w:t>
      </w:r>
    </w:p>
    <w:p w14:paraId="11D816DA" w14:textId="649454B7" w:rsidR="00883D34" w:rsidRDefault="00883D34" w:rsidP="00BB1E75">
      <w:pPr>
        <w:spacing w:line="276" w:lineRule="auto"/>
        <w:jc w:val="both"/>
        <w:rPr>
          <w:rFonts w:cstheme="minorHAnsi"/>
        </w:rPr>
      </w:pPr>
      <w:r w:rsidRPr="00C37E2E">
        <w:rPr>
          <w:rFonts w:cstheme="minorHAnsi"/>
          <w:b/>
          <w:i/>
        </w:rPr>
        <w:t>Metabolički sindrom i vitamin D</w:t>
      </w:r>
      <w:r>
        <w:rPr>
          <w:rFonts w:cstheme="minorHAnsi"/>
        </w:rPr>
        <w:t xml:space="preserve">: Analiza sprovedena od 2001. do 2004. godine kroz National Health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Nutrition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Examination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Survey</w:t>
      </w:r>
      <w:proofErr w:type="spellEnd"/>
      <w:r>
        <w:rPr>
          <w:rFonts w:cstheme="minorHAnsi"/>
        </w:rPr>
        <w:t xml:space="preserve"> (USA) je pokazala da su niski nivoi vitamina D jako povezani sa metaboličkim sindromom nevezano za adipozitet.</w:t>
      </w:r>
      <w:r w:rsidR="001E2E9C">
        <w:rPr>
          <w:rFonts w:cstheme="minorHAnsi"/>
        </w:rPr>
        <w:t xml:space="preserve"> (25) </w:t>
      </w:r>
      <w:r>
        <w:rPr>
          <w:rFonts w:cstheme="minorHAnsi"/>
        </w:rPr>
        <w:t xml:space="preserve">Druga studija sprovedena na urođeničkoj djeci školske dobi (grupa djece sa visokim rizikom </w:t>
      </w:r>
      <w:proofErr w:type="spellStart"/>
      <w:r>
        <w:rPr>
          <w:rFonts w:cstheme="minorHAnsi"/>
        </w:rPr>
        <w:t>dislipidemije</w:t>
      </w:r>
      <w:proofErr w:type="spellEnd"/>
      <w:r>
        <w:rPr>
          <w:rFonts w:cstheme="minorHAnsi"/>
        </w:rPr>
        <w:t xml:space="preserve">) je pokazala redukciju </w:t>
      </w:r>
      <w:proofErr w:type="spellStart"/>
      <w:r w:rsidR="00955B83">
        <w:rPr>
          <w:rFonts w:cstheme="minorHAnsi"/>
        </w:rPr>
        <w:t>h</w:t>
      </w:r>
      <w:r w:rsidR="004C7739">
        <w:rPr>
          <w:rFonts w:cstheme="minorHAnsi"/>
        </w:rPr>
        <w:t>olesterola</w:t>
      </w:r>
      <w:proofErr w:type="spellEnd"/>
      <w:r w:rsidR="004C7739">
        <w:rPr>
          <w:rFonts w:cstheme="minorHAnsi"/>
        </w:rPr>
        <w:t xml:space="preserve"> </w:t>
      </w:r>
      <w:proofErr w:type="spellStart"/>
      <w:r w:rsidR="004C7739">
        <w:rPr>
          <w:rFonts w:cstheme="minorHAnsi"/>
        </w:rPr>
        <w:t>lipoproteina</w:t>
      </w:r>
      <w:proofErr w:type="spellEnd"/>
      <w:r w:rsidR="004C7739">
        <w:rPr>
          <w:rFonts w:cstheme="minorHAnsi"/>
        </w:rPr>
        <w:t xml:space="preserve"> niske gustoće</w:t>
      </w:r>
      <w:r>
        <w:rPr>
          <w:rFonts w:cstheme="minorHAnsi"/>
        </w:rPr>
        <w:t xml:space="preserve"> </w:t>
      </w:r>
      <w:r w:rsidR="004C7739">
        <w:rPr>
          <w:rFonts w:cstheme="minorHAnsi"/>
        </w:rPr>
        <w:t xml:space="preserve">(LDL-C) nakon uvođenja suplementacije vitaminom D. </w:t>
      </w:r>
      <w:r w:rsidR="005E0A47">
        <w:rPr>
          <w:rFonts w:cstheme="minorHAnsi"/>
        </w:rPr>
        <w:t xml:space="preserve">(26-28) </w:t>
      </w:r>
      <w:r w:rsidR="004C7739">
        <w:rPr>
          <w:rFonts w:cstheme="minorHAnsi"/>
        </w:rPr>
        <w:t xml:space="preserve">Iako biološki mehanizam nije u potpunosti </w:t>
      </w:r>
      <w:proofErr w:type="spellStart"/>
      <w:r w:rsidR="004C7739">
        <w:rPr>
          <w:rFonts w:cstheme="minorHAnsi"/>
        </w:rPr>
        <w:t>razjašnjen</w:t>
      </w:r>
      <w:proofErr w:type="spellEnd"/>
      <w:r w:rsidR="004C7739">
        <w:rPr>
          <w:rFonts w:cstheme="minorHAnsi"/>
        </w:rPr>
        <w:t xml:space="preserve"> dokazi sugerišu da vitamin D djeluje kao faktor </w:t>
      </w:r>
      <w:proofErr w:type="spellStart"/>
      <w:r w:rsidR="004C7739">
        <w:rPr>
          <w:rFonts w:cstheme="minorHAnsi"/>
        </w:rPr>
        <w:t>kardiovaskulane</w:t>
      </w:r>
      <w:proofErr w:type="spellEnd"/>
      <w:r w:rsidR="004C7739">
        <w:rPr>
          <w:rFonts w:cstheme="minorHAnsi"/>
        </w:rPr>
        <w:t xml:space="preserve"> i bubrežne zaštite kroz supresiju </w:t>
      </w:r>
      <w:proofErr w:type="spellStart"/>
      <w:r w:rsidR="004C7739">
        <w:rPr>
          <w:rFonts w:cstheme="minorHAnsi"/>
        </w:rPr>
        <w:t>renin-angiotenzin-aldosteron</w:t>
      </w:r>
      <w:proofErr w:type="spellEnd"/>
      <w:r w:rsidR="004C7739">
        <w:rPr>
          <w:rFonts w:cstheme="minorHAnsi"/>
        </w:rPr>
        <w:t xml:space="preserve"> sistema koji inhibira vaskularnu kalcifikaciju i formiranje </w:t>
      </w:r>
      <w:proofErr w:type="spellStart"/>
      <w:r w:rsidR="004C7739">
        <w:rPr>
          <w:rFonts w:cstheme="minorHAnsi"/>
        </w:rPr>
        <w:t>plaka</w:t>
      </w:r>
      <w:proofErr w:type="spellEnd"/>
      <w:r w:rsidR="004C7739">
        <w:rPr>
          <w:rFonts w:cstheme="minorHAnsi"/>
        </w:rPr>
        <w:t>, a također ima anti-</w:t>
      </w:r>
      <w:proofErr w:type="spellStart"/>
      <w:r w:rsidR="004C7739">
        <w:rPr>
          <w:rFonts w:cstheme="minorHAnsi"/>
        </w:rPr>
        <w:t>inflamatorno</w:t>
      </w:r>
      <w:proofErr w:type="spellEnd"/>
      <w:r w:rsidR="004C7739">
        <w:rPr>
          <w:rFonts w:cstheme="minorHAnsi"/>
        </w:rPr>
        <w:t xml:space="preserve"> i </w:t>
      </w:r>
      <w:proofErr w:type="spellStart"/>
      <w:r w:rsidR="004C7739">
        <w:rPr>
          <w:rFonts w:cstheme="minorHAnsi"/>
        </w:rPr>
        <w:t>imunomodulatorno</w:t>
      </w:r>
      <w:proofErr w:type="spellEnd"/>
      <w:r w:rsidR="004C7739">
        <w:rPr>
          <w:rFonts w:cstheme="minorHAnsi"/>
        </w:rPr>
        <w:t xml:space="preserve"> djelovanje.</w:t>
      </w:r>
      <w:r w:rsidR="009B314B">
        <w:rPr>
          <w:rFonts w:cstheme="minorHAnsi"/>
        </w:rPr>
        <w:t xml:space="preserve"> (29-31)</w:t>
      </w:r>
    </w:p>
    <w:p w14:paraId="46A9A304" w14:textId="2A1AAB11" w:rsidR="004C7739" w:rsidRDefault="00EA0C66" w:rsidP="00BB1E75">
      <w:pPr>
        <w:spacing w:line="276" w:lineRule="auto"/>
        <w:jc w:val="both"/>
        <w:rPr>
          <w:rFonts w:cstheme="minorHAnsi"/>
        </w:rPr>
      </w:pPr>
      <w:r w:rsidRPr="00C37E2E">
        <w:rPr>
          <w:rFonts w:cstheme="minorHAnsi"/>
          <w:b/>
          <w:i/>
        </w:rPr>
        <w:t xml:space="preserve">Sindromi povezani sa intestinalnom </w:t>
      </w:r>
      <w:proofErr w:type="spellStart"/>
      <w:r w:rsidRPr="00C37E2E">
        <w:rPr>
          <w:rFonts w:cstheme="minorHAnsi"/>
          <w:b/>
          <w:i/>
        </w:rPr>
        <w:t>malapsorpcijom</w:t>
      </w:r>
      <w:proofErr w:type="spellEnd"/>
      <w:r w:rsidRPr="00C37E2E">
        <w:rPr>
          <w:rFonts w:cstheme="minorHAnsi"/>
          <w:b/>
          <w:i/>
        </w:rPr>
        <w:t xml:space="preserve"> i nedostatak vitamina D</w:t>
      </w:r>
      <w:r>
        <w:rPr>
          <w:rFonts w:cstheme="minorHAnsi"/>
        </w:rPr>
        <w:t xml:space="preserve">: Nedostatak vitamina D kod pacijenata sa sindromima intestinalne </w:t>
      </w:r>
      <w:proofErr w:type="spellStart"/>
      <w:r>
        <w:rPr>
          <w:rFonts w:cstheme="minorHAnsi"/>
        </w:rPr>
        <w:t>malapsorpcije</w:t>
      </w:r>
      <w:proofErr w:type="spellEnd"/>
      <w:r>
        <w:rPr>
          <w:rFonts w:cstheme="minorHAnsi"/>
        </w:rPr>
        <w:t xml:space="preserve">, uključujući i cističnu fibrozu (CF), </w:t>
      </w:r>
      <w:proofErr w:type="spellStart"/>
      <w:r>
        <w:rPr>
          <w:rFonts w:cstheme="minorHAnsi"/>
        </w:rPr>
        <w:t>celijakiju</w:t>
      </w:r>
      <w:proofErr w:type="spellEnd"/>
      <w:r>
        <w:rPr>
          <w:rFonts w:cstheme="minorHAnsi"/>
        </w:rPr>
        <w:t xml:space="preserve"> (CD), sindrom kratkog crijeva, te </w:t>
      </w:r>
      <w:proofErr w:type="spellStart"/>
      <w:r>
        <w:rPr>
          <w:rFonts w:cstheme="minorHAnsi"/>
        </w:rPr>
        <w:t>inflamatorna</w:t>
      </w:r>
      <w:proofErr w:type="spellEnd"/>
      <w:r>
        <w:rPr>
          <w:rFonts w:cstheme="minorHAnsi"/>
        </w:rPr>
        <w:t xml:space="preserve"> oboljenja crijeva su značajno veći nego kod opće populacije. Vitamin D, kod ove populacije, pada kao rezultat više faktora kao što su reducirana a</w:t>
      </w:r>
      <w:r w:rsidR="00955B83">
        <w:rPr>
          <w:rFonts w:cstheme="minorHAnsi"/>
        </w:rPr>
        <w:t>p</w:t>
      </w:r>
      <w:r>
        <w:rPr>
          <w:rFonts w:cstheme="minorHAnsi"/>
        </w:rPr>
        <w:t xml:space="preserve">sorpcija </w:t>
      </w:r>
      <w:proofErr w:type="spellStart"/>
      <w:r>
        <w:rPr>
          <w:rFonts w:cstheme="minorHAnsi"/>
        </w:rPr>
        <w:t>liposolubilnih</w:t>
      </w:r>
      <w:proofErr w:type="spellEnd"/>
      <w:r>
        <w:rPr>
          <w:rFonts w:cstheme="minorHAnsi"/>
        </w:rPr>
        <w:t xml:space="preserve"> vitamina, povećana </w:t>
      </w:r>
      <w:proofErr w:type="spellStart"/>
      <w:r>
        <w:rPr>
          <w:rFonts w:cstheme="minorHAnsi"/>
        </w:rPr>
        <w:t>eskpresija</w:t>
      </w:r>
      <w:proofErr w:type="spellEnd"/>
      <w:r>
        <w:rPr>
          <w:rFonts w:cstheme="minorHAnsi"/>
        </w:rPr>
        <w:t xml:space="preserve"> </w:t>
      </w:r>
      <w:r w:rsidR="00F259E8">
        <w:rPr>
          <w:rFonts w:cstheme="minorHAnsi"/>
        </w:rPr>
        <w:t>upalom-posredovani</w:t>
      </w:r>
      <w:r w:rsidR="00955B83">
        <w:rPr>
          <w:rFonts w:cstheme="minorHAnsi"/>
        </w:rPr>
        <w:t>h</w:t>
      </w:r>
      <w:r w:rsidR="00F259E8">
        <w:rPr>
          <w:rFonts w:cstheme="minorHAnsi"/>
        </w:rPr>
        <w:t xml:space="preserve"> </w:t>
      </w:r>
      <w:proofErr w:type="spellStart"/>
      <w:r w:rsidR="00F259E8">
        <w:rPr>
          <w:rFonts w:cstheme="minorHAnsi"/>
        </w:rPr>
        <w:t>ekstrarenalnim</w:t>
      </w:r>
      <w:proofErr w:type="spellEnd"/>
      <w:r w:rsidR="00F259E8">
        <w:rPr>
          <w:rFonts w:cstheme="minorHAnsi"/>
        </w:rPr>
        <w:t xml:space="preserve"> CYP27B1, sekundarni </w:t>
      </w:r>
      <w:proofErr w:type="spellStart"/>
      <w:r w:rsidR="00F259E8">
        <w:rPr>
          <w:rFonts w:cstheme="minorHAnsi"/>
        </w:rPr>
        <w:t>hiperparatireoidizam</w:t>
      </w:r>
      <w:proofErr w:type="spellEnd"/>
      <w:r w:rsidR="00F259E8">
        <w:rPr>
          <w:rFonts w:cstheme="minorHAnsi"/>
        </w:rPr>
        <w:t xml:space="preserve">, </w:t>
      </w:r>
      <w:proofErr w:type="spellStart"/>
      <w:r w:rsidR="00F259E8">
        <w:rPr>
          <w:rFonts w:cstheme="minorHAnsi"/>
        </w:rPr>
        <w:t>hipokalcemija</w:t>
      </w:r>
      <w:proofErr w:type="spellEnd"/>
      <w:r w:rsidR="00F259E8">
        <w:rPr>
          <w:rFonts w:cstheme="minorHAnsi"/>
        </w:rPr>
        <w:t xml:space="preserve"> kod nekih pacijenata; sve navedeno vodi kao većoj konverziji 25(OH)D u 1,25(OH)2D i time do nižih nivoa 25(OH)D.</w:t>
      </w:r>
      <w:r w:rsidR="009F434D">
        <w:rPr>
          <w:rFonts w:cstheme="minorHAnsi"/>
        </w:rPr>
        <w:t xml:space="preserve"> (32)</w:t>
      </w:r>
    </w:p>
    <w:p w14:paraId="448ADE1F" w14:textId="7D501F18" w:rsidR="00F259E8" w:rsidRDefault="00A3639F" w:rsidP="00BB1E75">
      <w:pPr>
        <w:spacing w:line="276" w:lineRule="auto"/>
        <w:jc w:val="both"/>
        <w:rPr>
          <w:rFonts w:cstheme="minorHAnsi"/>
        </w:rPr>
      </w:pPr>
      <w:r w:rsidRPr="00C37E2E">
        <w:rPr>
          <w:rFonts w:cstheme="minorHAnsi"/>
          <w:b/>
          <w:i/>
        </w:rPr>
        <w:t>Cistična fibroza</w:t>
      </w:r>
      <w:r w:rsidR="00955B83" w:rsidRPr="00C37E2E">
        <w:rPr>
          <w:rFonts w:cstheme="minorHAnsi"/>
          <w:b/>
          <w:i/>
        </w:rPr>
        <w:t xml:space="preserve"> (CF)</w:t>
      </w:r>
      <w:r w:rsidRPr="00C37E2E">
        <w:rPr>
          <w:rFonts w:cstheme="minorHAnsi"/>
          <w:b/>
          <w:i/>
        </w:rPr>
        <w:t xml:space="preserve"> i nedostatak vitamina D</w:t>
      </w:r>
      <w:r>
        <w:rPr>
          <w:rFonts w:cstheme="minorHAnsi"/>
        </w:rPr>
        <w:t xml:space="preserve">: </w:t>
      </w:r>
      <w:proofErr w:type="spellStart"/>
      <w:r w:rsidR="00E25F97">
        <w:rPr>
          <w:rFonts w:cstheme="minorHAnsi"/>
        </w:rPr>
        <w:t>Prevalenca</w:t>
      </w:r>
      <w:proofErr w:type="spellEnd"/>
      <w:r w:rsidR="00E25F97">
        <w:rPr>
          <w:rFonts w:cstheme="minorHAnsi"/>
        </w:rPr>
        <w:t xml:space="preserve"> neadekvatnog statusa vitamina D kod pacijenata sa CF može ići i do 95%. </w:t>
      </w:r>
      <w:r w:rsidR="002623E1">
        <w:rPr>
          <w:rFonts w:cstheme="minorHAnsi"/>
        </w:rPr>
        <w:t xml:space="preserve">(33) </w:t>
      </w:r>
      <w:r w:rsidR="00E25F97">
        <w:rPr>
          <w:rFonts w:cstheme="minorHAnsi"/>
        </w:rPr>
        <w:t>9</w:t>
      </w:r>
      <w:r w:rsidR="00955B83">
        <w:rPr>
          <w:rFonts w:cstheme="minorHAnsi"/>
        </w:rPr>
        <w:t>0</w:t>
      </w:r>
      <w:r w:rsidR="00E25F97">
        <w:rPr>
          <w:rFonts w:cstheme="minorHAnsi"/>
        </w:rPr>
        <w:t xml:space="preserve">% populacije oboljelih od CF-a </w:t>
      </w:r>
      <w:r w:rsidR="00386E83">
        <w:rPr>
          <w:rFonts w:cstheme="minorHAnsi"/>
        </w:rPr>
        <w:t xml:space="preserve">ima izrazitu </w:t>
      </w:r>
      <w:proofErr w:type="spellStart"/>
      <w:r w:rsidR="00386E83">
        <w:rPr>
          <w:rFonts w:cstheme="minorHAnsi"/>
        </w:rPr>
        <w:t>pankreatičnu</w:t>
      </w:r>
      <w:proofErr w:type="spellEnd"/>
      <w:r w:rsidR="00386E83">
        <w:rPr>
          <w:rFonts w:cstheme="minorHAnsi"/>
        </w:rPr>
        <w:t xml:space="preserve"> </w:t>
      </w:r>
      <w:proofErr w:type="spellStart"/>
      <w:r w:rsidR="00386E83">
        <w:rPr>
          <w:rFonts w:cstheme="minorHAnsi"/>
        </w:rPr>
        <w:t>insuficijenciju</w:t>
      </w:r>
      <w:proofErr w:type="spellEnd"/>
      <w:r w:rsidR="00B10E40">
        <w:rPr>
          <w:rFonts w:cstheme="minorHAnsi"/>
        </w:rPr>
        <w:t xml:space="preserve"> </w:t>
      </w:r>
      <w:r w:rsidR="00386E83">
        <w:rPr>
          <w:rFonts w:cstheme="minorHAnsi"/>
        </w:rPr>
        <w:t xml:space="preserve">koja uzrokuje </w:t>
      </w:r>
      <w:proofErr w:type="spellStart"/>
      <w:r w:rsidR="00386E83">
        <w:rPr>
          <w:rFonts w:cstheme="minorHAnsi"/>
        </w:rPr>
        <w:t>malapsorpciju</w:t>
      </w:r>
      <w:proofErr w:type="spellEnd"/>
      <w:r w:rsidR="00386E83">
        <w:rPr>
          <w:rFonts w:cstheme="minorHAnsi"/>
        </w:rPr>
        <w:t xml:space="preserve"> masti, a time i </w:t>
      </w:r>
      <w:proofErr w:type="spellStart"/>
      <w:r w:rsidR="00386E83">
        <w:rPr>
          <w:rFonts w:cstheme="minorHAnsi"/>
        </w:rPr>
        <w:t>liposolubilnih</w:t>
      </w:r>
      <w:proofErr w:type="spellEnd"/>
      <w:r w:rsidR="00386E83">
        <w:rPr>
          <w:rFonts w:cstheme="minorHAnsi"/>
        </w:rPr>
        <w:t xml:space="preserve"> vitamina. Ipak, nedostatak vitamina D je također evidentiran i kod </w:t>
      </w:r>
      <w:r w:rsidR="009B4800">
        <w:rPr>
          <w:rFonts w:cstheme="minorHAnsi"/>
        </w:rPr>
        <w:t xml:space="preserve">do </w:t>
      </w:r>
      <w:r w:rsidR="00386E83">
        <w:rPr>
          <w:rFonts w:cstheme="minorHAnsi"/>
        </w:rPr>
        <w:t xml:space="preserve">50% pacijenata sa CF koji imaju normalnu </w:t>
      </w:r>
      <w:proofErr w:type="spellStart"/>
      <w:r w:rsidR="00386E83">
        <w:rPr>
          <w:rFonts w:cstheme="minorHAnsi"/>
        </w:rPr>
        <w:t>pankreatičnu</w:t>
      </w:r>
      <w:proofErr w:type="spellEnd"/>
      <w:r w:rsidR="00386E83">
        <w:rPr>
          <w:rFonts w:cstheme="minorHAnsi"/>
        </w:rPr>
        <w:t xml:space="preserve"> funkciju.</w:t>
      </w:r>
      <w:r w:rsidR="00DC68D6">
        <w:rPr>
          <w:rFonts w:cstheme="minorHAnsi"/>
        </w:rPr>
        <w:t xml:space="preserve"> (34)</w:t>
      </w:r>
      <w:r w:rsidR="009B4800">
        <w:rPr>
          <w:rFonts w:cstheme="minorHAnsi"/>
        </w:rPr>
        <w:t xml:space="preserve"> Posljednjih godina, posljedice nedostataka vitamina D kod djece sa CF-om, razmatrane su i mimo onih koje se odnose na koštani sistem; nedavne studije su pokazale povezanost između 25(OH)D nivoa i pulmona</w:t>
      </w:r>
      <w:r w:rsidR="00955B83">
        <w:rPr>
          <w:rFonts w:cstheme="minorHAnsi"/>
        </w:rPr>
        <w:t>l</w:t>
      </w:r>
      <w:r w:rsidR="009B4800">
        <w:rPr>
          <w:rFonts w:cstheme="minorHAnsi"/>
        </w:rPr>
        <w:t xml:space="preserve">ne funkcije i kolonizacije bakterijama S. </w:t>
      </w:r>
      <w:proofErr w:type="spellStart"/>
      <w:r w:rsidR="002453A2">
        <w:rPr>
          <w:rFonts w:cstheme="minorHAnsi"/>
        </w:rPr>
        <w:t>a</w:t>
      </w:r>
      <w:r w:rsidR="009B4800">
        <w:rPr>
          <w:rFonts w:cstheme="minorHAnsi"/>
        </w:rPr>
        <w:t>ureus</w:t>
      </w:r>
      <w:proofErr w:type="spellEnd"/>
      <w:r w:rsidR="009B4800">
        <w:rPr>
          <w:rFonts w:cstheme="minorHAnsi"/>
        </w:rPr>
        <w:t xml:space="preserve"> i </w:t>
      </w:r>
      <w:proofErr w:type="spellStart"/>
      <w:r w:rsidR="009B4800">
        <w:rPr>
          <w:rFonts w:cstheme="minorHAnsi"/>
        </w:rPr>
        <w:t>Pseudomonas</w:t>
      </w:r>
      <w:proofErr w:type="spellEnd"/>
      <w:r w:rsidR="009B4800">
        <w:rPr>
          <w:rFonts w:cstheme="minorHAnsi"/>
        </w:rPr>
        <w:t xml:space="preserve"> </w:t>
      </w:r>
      <w:proofErr w:type="spellStart"/>
      <w:r w:rsidR="009B4800">
        <w:rPr>
          <w:rFonts w:cstheme="minorHAnsi"/>
        </w:rPr>
        <w:t>sp</w:t>
      </w:r>
      <w:proofErr w:type="spellEnd"/>
      <w:r w:rsidR="002453A2">
        <w:rPr>
          <w:rFonts w:cstheme="minorHAnsi"/>
        </w:rPr>
        <w:t xml:space="preserve">. </w:t>
      </w:r>
      <w:r w:rsidR="00D333A3">
        <w:rPr>
          <w:rFonts w:cstheme="minorHAnsi"/>
        </w:rPr>
        <w:t xml:space="preserve">(34) </w:t>
      </w:r>
      <w:r w:rsidR="007D528A">
        <w:rPr>
          <w:rFonts w:cstheme="minorHAnsi"/>
        </w:rPr>
        <w:t xml:space="preserve">Američka fondacija za cističnu fibrozu (United </w:t>
      </w:r>
      <w:proofErr w:type="spellStart"/>
      <w:r w:rsidR="007D528A">
        <w:rPr>
          <w:rFonts w:cstheme="minorHAnsi"/>
        </w:rPr>
        <w:t>States</w:t>
      </w:r>
      <w:proofErr w:type="spellEnd"/>
      <w:r w:rsidR="007D528A">
        <w:rPr>
          <w:rFonts w:cstheme="minorHAnsi"/>
        </w:rPr>
        <w:t xml:space="preserve"> </w:t>
      </w:r>
      <w:proofErr w:type="spellStart"/>
      <w:r w:rsidR="007D528A">
        <w:rPr>
          <w:rFonts w:cstheme="minorHAnsi"/>
        </w:rPr>
        <w:t>Cystic</w:t>
      </w:r>
      <w:proofErr w:type="spellEnd"/>
      <w:r w:rsidR="007D528A">
        <w:rPr>
          <w:rFonts w:cstheme="minorHAnsi"/>
        </w:rPr>
        <w:t xml:space="preserve"> </w:t>
      </w:r>
      <w:proofErr w:type="spellStart"/>
      <w:r w:rsidR="007D528A">
        <w:rPr>
          <w:rFonts w:cstheme="minorHAnsi"/>
        </w:rPr>
        <w:t>Fibrosis</w:t>
      </w:r>
      <w:proofErr w:type="spellEnd"/>
      <w:r w:rsidR="007D528A">
        <w:rPr>
          <w:rFonts w:cstheme="minorHAnsi"/>
        </w:rPr>
        <w:t xml:space="preserve"> </w:t>
      </w:r>
      <w:proofErr w:type="spellStart"/>
      <w:r w:rsidR="007D528A">
        <w:rPr>
          <w:rFonts w:cstheme="minorHAnsi"/>
        </w:rPr>
        <w:t>Foundation</w:t>
      </w:r>
      <w:proofErr w:type="spellEnd"/>
      <w:r w:rsidR="007D528A">
        <w:rPr>
          <w:rFonts w:cstheme="minorHAnsi"/>
        </w:rPr>
        <w:t xml:space="preserve"> – USCFF) preporuča mjerenje 25(OH)D svaka tri mjeseca i prilagodbu doze kako bi se postigli dovoljni nivoi 25(OH)D (˃ 75 </w:t>
      </w:r>
      <w:proofErr w:type="spellStart"/>
      <w:r w:rsidR="007D528A">
        <w:rPr>
          <w:rFonts w:cstheme="minorHAnsi"/>
        </w:rPr>
        <w:t>nmol</w:t>
      </w:r>
      <w:proofErr w:type="spellEnd"/>
      <w:r w:rsidR="007D528A">
        <w:rPr>
          <w:rFonts w:cstheme="minorHAnsi"/>
        </w:rPr>
        <w:t>/L).</w:t>
      </w:r>
      <w:r w:rsidR="00D333A3">
        <w:rPr>
          <w:rFonts w:cstheme="minorHAnsi"/>
        </w:rPr>
        <w:t xml:space="preserve"> (35)</w:t>
      </w:r>
    </w:p>
    <w:p w14:paraId="6ED2AC22" w14:textId="3549FA67" w:rsidR="006773A0" w:rsidRDefault="006773A0" w:rsidP="00BB1E75">
      <w:pPr>
        <w:spacing w:line="276" w:lineRule="auto"/>
        <w:jc w:val="both"/>
        <w:rPr>
          <w:rFonts w:cstheme="minorHAnsi"/>
        </w:rPr>
      </w:pPr>
      <w:proofErr w:type="spellStart"/>
      <w:r w:rsidRPr="00C37E2E">
        <w:rPr>
          <w:rFonts w:cstheme="minorHAnsi"/>
          <w:b/>
          <w:i/>
        </w:rPr>
        <w:t>Celijakija</w:t>
      </w:r>
      <w:proofErr w:type="spellEnd"/>
      <w:r w:rsidRPr="00C37E2E">
        <w:rPr>
          <w:rFonts w:cstheme="minorHAnsi"/>
          <w:b/>
          <w:i/>
        </w:rPr>
        <w:t xml:space="preserve"> i nedostatak vitamina D</w:t>
      </w:r>
      <w:r>
        <w:rPr>
          <w:rFonts w:cstheme="minorHAnsi"/>
        </w:rPr>
        <w:t xml:space="preserve">: Nivoi vitamina D i kalcija su smanjeni kod pacijenata sa netretiranom CD. Ovo se događa iz više </w:t>
      </w:r>
      <w:r w:rsidR="001F02DC">
        <w:rPr>
          <w:rFonts w:cstheme="minorHAnsi"/>
        </w:rPr>
        <w:t xml:space="preserve">razloga: </w:t>
      </w:r>
      <w:proofErr w:type="spellStart"/>
      <w:r w:rsidR="001F02DC">
        <w:rPr>
          <w:rFonts w:cstheme="minorHAnsi"/>
        </w:rPr>
        <w:t>mala</w:t>
      </w:r>
      <w:r w:rsidR="00C37E2E">
        <w:rPr>
          <w:rFonts w:cstheme="minorHAnsi"/>
        </w:rPr>
        <w:t>p</w:t>
      </w:r>
      <w:r w:rsidR="001F02DC">
        <w:rPr>
          <w:rFonts w:cstheme="minorHAnsi"/>
        </w:rPr>
        <w:t>sorpcija</w:t>
      </w:r>
      <w:proofErr w:type="spellEnd"/>
      <w:r w:rsidR="00CA12B7">
        <w:rPr>
          <w:rFonts w:cstheme="minorHAnsi"/>
        </w:rPr>
        <w:t xml:space="preserve"> uzrokovana oštećenjima epitela crijeva, restrikcije unošenja mlijeka uslijed povezane intolerancije na laktozu i/ili reducirane ekspresije kalcij </w:t>
      </w:r>
      <w:proofErr w:type="spellStart"/>
      <w:r w:rsidR="00CA12B7">
        <w:rPr>
          <w:rFonts w:cstheme="minorHAnsi"/>
        </w:rPr>
        <w:t>vezajućeg</w:t>
      </w:r>
      <w:proofErr w:type="spellEnd"/>
      <w:r w:rsidR="00CA12B7">
        <w:rPr>
          <w:rFonts w:cstheme="minorHAnsi"/>
        </w:rPr>
        <w:t xml:space="preserve"> proteina, a što je regulirano vitaminom D. Studije nisu pokazale vezu između </w:t>
      </w:r>
      <w:proofErr w:type="spellStart"/>
      <w:r w:rsidR="00CA12B7">
        <w:rPr>
          <w:rFonts w:cstheme="minorHAnsi"/>
        </w:rPr>
        <w:t>polimorfizma</w:t>
      </w:r>
      <w:proofErr w:type="spellEnd"/>
      <w:r w:rsidR="00CA12B7">
        <w:rPr>
          <w:rFonts w:cstheme="minorHAnsi"/>
        </w:rPr>
        <w:t xml:space="preserve"> receptora vitamina D između zdravih osoba i CD pacijenata. </w:t>
      </w:r>
      <w:proofErr w:type="spellStart"/>
      <w:r w:rsidR="00CA12B7">
        <w:rPr>
          <w:rFonts w:cstheme="minorHAnsi"/>
        </w:rPr>
        <w:t>Tanpowpong</w:t>
      </w:r>
      <w:proofErr w:type="spellEnd"/>
      <w:r w:rsidR="00CA12B7">
        <w:rPr>
          <w:rFonts w:cstheme="minorHAnsi"/>
        </w:rPr>
        <w:t xml:space="preserve"> &amp; </w:t>
      </w:r>
      <w:proofErr w:type="spellStart"/>
      <w:r w:rsidR="00CA12B7">
        <w:rPr>
          <w:rFonts w:cstheme="minorHAnsi"/>
        </w:rPr>
        <w:t>Camargo</w:t>
      </w:r>
      <w:proofErr w:type="spellEnd"/>
      <w:r w:rsidR="00CA12B7">
        <w:rPr>
          <w:rFonts w:cstheme="minorHAnsi"/>
        </w:rPr>
        <w:t xml:space="preserve"> su opisali hipotezu da nedostatak vitamina D vodi ka deregulaciji imunog odgovora, posebno prekid integriteta intestinalne </w:t>
      </w:r>
      <w:proofErr w:type="spellStart"/>
      <w:r w:rsidR="00CA12B7">
        <w:rPr>
          <w:rFonts w:cstheme="minorHAnsi"/>
        </w:rPr>
        <w:t>mukoze</w:t>
      </w:r>
      <w:proofErr w:type="spellEnd"/>
      <w:r w:rsidR="00CA12B7">
        <w:rPr>
          <w:rFonts w:cstheme="minorHAnsi"/>
        </w:rPr>
        <w:t xml:space="preserve"> kod prisustva antigena (</w:t>
      </w:r>
      <w:proofErr w:type="spellStart"/>
      <w:r w:rsidR="00CA12B7">
        <w:rPr>
          <w:rFonts w:cstheme="minorHAnsi"/>
        </w:rPr>
        <w:t>gluten</w:t>
      </w:r>
      <w:proofErr w:type="spellEnd"/>
      <w:r w:rsidR="00CA12B7">
        <w:rPr>
          <w:rFonts w:cstheme="minorHAnsi"/>
        </w:rPr>
        <w:t xml:space="preserve">) i mikrobnih antigena (virusne gastrointestinalne infekcije), a što promoviše neželjeno mikrobno </w:t>
      </w:r>
      <w:proofErr w:type="spellStart"/>
      <w:r w:rsidR="00CA12B7">
        <w:rPr>
          <w:rFonts w:cstheme="minorHAnsi"/>
        </w:rPr>
        <w:t>okruženje</w:t>
      </w:r>
      <w:proofErr w:type="spellEnd"/>
      <w:r w:rsidR="00CA12B7">
        <w:rPr>
          <w:rFonts w:cstheme="minorHAnsi"/>
        </w:rPr>
        <w:t xml:space="preserve"> među osobama koje su genetički predisponirane za razvoj CD-a. Stoga, nedostatak vitamina D tokom kritičnog perioda života, poput prve godine, može povećati rizik od razvoja CD-a u budućnosti. </w:t>
      </w:r>
      <w:r w:rsidR="00970298">
        <w:rPr>
          <w:rFonts w:cstheme="minorHAnsi"/>
        </w:rPr>
        <w:t xml:space="preserve">(36) </w:t>
      </w:r>
      <w:r w:rsidR="00CA12B7">
        <w:rPr>
          <w:rFonts w:cstheme="minorHAnsi"/>
        </w:rPr>
        <w:t xml:space="preserve">Cilj je </w:t>
      </w:r>
      <w:proofErr w:type="spellStart"/>
      <w:r w:rsidR="00CA12B7">
        <w:rPr>
          <w:rFonts w:cstheme="minorHAnsi"/>
        </w:rPr>
        <w:t>održati</w:t>
      </w:r>
      <w:proofErr w:type="spellEnd"/>
      <w:r w:rsidR="00CA12B7">
        <w:rPr>
          <w:rFonts w:cstheme="minorHAnsi"/>
        </w:rPr>
        <w:t xml:space="preserve"> 25(OH)D nivoe ˃ 75 </w:t>
      </w:r>
      <w:proofErr w:type="spellStart"/>
      <w:r w:rsidR="00CA12B7">
        <w:rPr>
          <w:rFonts w:cstheme="minorHAnsi"/>
        </w:rPr>
        <w:lastRenderedPageBreak/>
        <w:t>nmol</w:t>
      </w:r>
      <w:proofErr w:type="spellEnd"/>
      <w:r w:rsidR="00CA12B7">
        <w:rPr>
          <w:rFonts w:cstheme="minorHAnsi"/>
        </w:rPr>
        <w:t xml:space="preserve">/L, a glavni tretman je ishrana bez </w:t>
      </w:r>
      <w:proofErr w:type="spellStart"/>
      <w:r w:rsidR="00CA12B7">
        <w:rPr>
          <w:rFonts w:cstheme="minorHAnsi"/>
        </w:rPr>
        <w:t>glutena</w:t>
      </w:r>
      <w:proofErr w:type="spellEnd"/>
      <w:r w:rsidR="00CA12B7">
        <w:rPr>
          <w:rFonts w:cstheme="minorHAnsi"/>
        </w:rPr>
        <w:t xml:space="preserve"> koja pokazuje </w:t>
      </w:r>
      <w:proofErr w:type="spellStart"/>
      <w:r w:rsidR="00CA12B7">
        <w:rPr>
          <w:rFonts w:cstheme="minorHAnsi"/>
        </w:rPr>
        <w:t>poboljšanja</w:t>
      </w:r>
      <w:proofErr w:type="spellEnd"/>
      <w:r w:rsidR="00CA12B7">
        <w:rPr>
          <w:rFonts w:cstheme="minorHAnsi"/>
        </w:rPr>
        <w:t xml:space="preserve"> u serumskim nivoima vitamina D i kalcija kao i </w:t>
      </w:r>
      <w:r w:rsidR="00F83E96">
        <w:rPr>
          <w:rFonts w:cstheme="minorHAnsi"/>
        </w:rPr>
        <w:t>mineralne gustoće kosti kod djece i adolescenata.</w:t>
      </w:r>
      <w:r w:rsidR="00B950C3">
        <w:rPr>
          <w:rFonts w:cstheme="minorHAnsi"/>
        </w:rPr>
        <w:t xml:space="preserve"> (37)</w:t>
      </w:r>
    </w:p>
    <w:p w14:paraId="1C0BBD3B" w14:textId="0AB122B7" w:rsidR="00F83E96" w:rsidRDefault="00F83E96" w:rsidP="00BB1E75">
      <w:pPr>
        <w:spacing w:line="276" w:lineRule="auto"/>
        <w:jc w:val="both"/>
        <w:rPr>
          <w:rFonts w:cstheme="minorHAnsi"/>
        </w:rPr>
      </w:pPr>
      <w:proofErr w:type="spellStart"/>
      <w:r w:rsidRPr="00F83E96">
        <w:rPr>
          <w:rFonts w:cstheme="minorHAnsi"/>
          <w:b/>
          <w:i/>
        </w:rPr>
        <w:t>Antikonvulzivi</w:t>
      </w:r>
      <w:proofErr w:type="spellEnd"/>
      <w:r w:rsidRPr="00F83E96">
        <w:rPr>
          <w:rFonts w:cstheme="minorHAnsi"/>
          <w:b/>
          <w:i/>
        </w:rPr>
        <w:t xml:space="preserve"> i nedostatak vitamina D</w:t>
      </w:r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Prevalenca</w:t>
      </w:r>
      <w:proofErr w:type="spellEnd"/>
      <w:r>
        <w:rPr>
          <w:rFonts w:cstheme="minorHAnsi"/>
        </w:rPr>
        <w:t xml:space="preserve"> nedostatak vitamina D kod djece sa epilepsijom koja primaju </w:t>
      </w:r>
      <w:proofErr w:type="spellStart"/>
      <w:r>
        <w:rPr>
          <w:rFonts w:cstheme="minorHAnsi"/>
        </w:rPr>
        <w:t>antikonvulzive</w:t>
      </w:r>
      <w:proofErr w:type="spellEnd"/>
      <w:r>
        <w:rPr>
          <w:rFonts w:cstheme="minorHAnsi"/>
        </w:rPr>
        <w:t xml:space="preserve"> je preko 50 %.</w:t>
      </w:r>
      <w:r w:rsidR="006522F0">
        <w:rPr>
          <w:rFonts w:cstheme="minorHAnsi"/>
        </w:rPr>
        <w:t xml:space="preserve"> (38)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Fenition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fenobarbital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karbamazepin</w:t>
      </w:r>
      <w:proofErr w:type="spellEnd"/>
      <w:r>
        <w:rPr>
          <w:rFonts w:cstheme="minorHAnsi"/>
        </w:rPr>
        <w:t xml:space="preserve"> miješaju se sa metabolizmom vitamina D. Ovi lijekovi djeluju na jetrenom </w:t>
      </w:r>
      <w:proofErr w:type="spellStart"/>
      <w:r>
        <w:rPr>
          <w:rFonts w:cstheme="minorHAnsi"/>
        </w:rPr>
        <w:t>mikrosomalnom</w:t>
      </w:r>
      <w:proofErr w:type="spellEnd"/>
      <w:r>
        <w:rPr>
          <w:rFonts w:cstheme="minorHAnsi"/>
        </w:rPr>
        <w:t xml:space="preserve"> nivou induciranjem aktivnosti </w:t>
      </w:r>
      <w:proofErr w:type="spellStart"/>
      <w:r>
        <w:rPr>
          <w:rFonts w:cstheme="minorHAnsi"/>
        </w:rPr>
        <w:t>citokrom</w:t>
      </w:r>
      <w:proofErr w:type="spellEnd"/>
      <w:r>
        <w:rPr>
          <w:rFonts w:cstheme="minorHAnsi"/>
        </w:rPr>
        <w:t xml:space="preserve"> P450 </w:t>
      </w:r>
      <w:proofErr w:type="spellStart"/>
      <w:r>
        <w:rPr>
          <w:rFonts w:cstheme="minorHAnsi"/>
        </w:rPr>
        <w:t>hidrolaza</w:t>
      </w:r>
      <w:proofErr w:type="spellEnd"/>
      <w:r>
        <w:rPr>
          <w:rFonts w:cstheme="minorHAnsi"/>
        </w:rPr>
        <w:t xml:space="preserve"> enzima, vodeći ka ubrzanom </w:t>
      </w:r>
      <w:proofErr w:type="spellStart"/>
      <w:r>
        <w:rPr>
          <w:rFonts w:cstheme="minorHAnsi"/>
        </w:rPr>
        <w:t>katabolizmu</w:t>
      </w:r>
      <w:proofErr w:type="spellEnd"/>
      <w:r>
        <w:rPr>
          <w:rFonts w:cstheme="minorHAnsi"/>
        </w:rPr>
        <w:t xml:space="preserve"> vitamina D i </w:t>
      </w:r>
      <w:proofErr w:type="spellStart"/>
      <w:r>
        <w:rPr>
          <w:rFonts w:cstheme="minorHAnsi"/>
        </w:rPr>
        <w:t>metabolita</w:t>
      </w:r>
      <w:proofErr w:type="spellEnd"/>
      <w:r>
        <w:rPr>
          <w:rFonts w:cstheme="minorHAnsi"/>
        </w:rPr>
        <w:t xml:space="preserve">; ipak, takvi </w:t>
      </w:r>
      <w:proofErr w:type="spellStart"/>
      <w:r>
        <w:rPr>
          <w:rFonts w:cstheme="minorHAnsi"/>
        </w:rPr>
        <w:t>enzimatski</w:t>
      </w:r>
      <w:proofErr w:type="spellEnd"/>
      <w:r>
        <w:rPr>
          <w:rFonts w:cstheme="minorHAnsi"/>
        </w:rPr>
        <w:t xml:space="preserve"> induktori su samo jedan od faktora povezanih sa nedostatkom vitamina D. Drugi faktori uključuju </w:t>
      </w:r>
      <w:proofErr w:type="spellStart"/>
      <w:r>
        <w:rPr>
          <w:rFonts w:cstheme="minorHAnsi"/>
        </w:rPr>
        <w:t>polifarmaciju</w:t>
      </w:r>
      <w:proofErr w:type="spellEnd"/>
      <w:r>
        <w:rPr>
          <w:rFonts w:cstheme="minorHAnsi"/>
        </w:rPr>
        <w:t xml:space="preserve">, dužinu trajanja terapije </w:t>
      </w:r>
      <w:proofErr w:type="spellStart"/>
      <w:r>
        <w:rPr>
          <w:rFonts w:cstheme="minorHAnsi"/>
        </w:rPr>
        <w:t>antikonvulzivima</w:t>
      </w:r>
      <w:proofErr w:type="spellEnd"/>
      <w:r>
        <w:rPr>
          <w:rFonts w:cstheme="minorHAnsi"/>
        </w:rPr>
        <w:t xml:space="preserve"> (79% nedostataka vitamina D je evidentirano u slučajevima korištenja </w:t>
      </w:r>
      <w:proofErr w:type="spellStart"/>
      <w:r>
        <w:rPr>
          <w:rFonts w:cstheme="minorHAnsi"/>
        </w:rPr>
        <w:t>antikonvulziva</w:t>
      </w:r>
      <w:proofErr w:type="spellEnd"/>
      <w:r>
        <w:rPr>
          <w:rFonts w:cstheme="minorHAnsi"/>
        </w:rPr>
        <w:t xml:space="preserve"> preko dvije godine), duže </w:t>
      </w:r>
      <w:proofErr w:type="spellStart"/>
      <w:r>
        <w:rPr>
          <w:rFonts w:cstheme="minorHAnsi"/>
        </w:rPr>
        <w:t>ležanje</w:t>
      </w:r>
      <w:proofErr w:type="spellEnd"/>
      <w:r>
        <w:rPr>
          <w:rFonts w:cstheme="minorHAnsi"/>
        </w:rPr>
        <w:t xml:space="preserve">, te ishrana putem </w:t>
      </w:r>
      <w:proofErr w:type="spellStart"/>
      <w:r>
        <w:rPr>
          <w:rFonts w:cstheme="minorHAnsi"/>
        </w:rPr>
        <w:t>nazogastrične</w:t>
      </w:r>
      <w:proofErr w:type="spellEnd"/>
      <w:r>
        <w:rPr>
          <w:rFonts w:cstheme="minorHAnsi"/>
        </w:rPr>
        <w:t xml:space="preserve"> </w:t>
      </w:r>
      <w:r w:rsidR="00C37E2E">
        <w:rPr>
          <w:rFonts w:cstheme="minorHAnsi"/>
        </w:rPr>
        <w:t>sonde</w:t>
      </w:r>
      <w:r>
        <w:rPr>
          <w:rFonts w:cstheme="minorHAnsi"/>
        </w:rPr>
        <w:t xml:space="preserve"> ili </w:t>
      </w:r>
      <w:proofErr w:type="spellStart"/>
      <w:r>
        <w:rPr>
          <w:rFonts w:cstheme="minorHAnsi"/>
        </w:rPr>
        <w:t>gastrostome</w:t>
      </w:r>
      <w:proofErr w:type="spellEnd"/>
      <w:r>
        <w:rPr>
          <w:rFonts w:cstheme="minorHAnsi"/>
        </w:rPr>
        <w:t>.</w:t>
      </w:r>
      <w:r w:rsidR="003F76CE">
        <w:rPr>
          <w:rFonts w:cstheme="minorHAnsi"/>
        </w:rPr>
        <w:t xml:space="preserve"> (38)</w:t>
      </w:r>
      <w:r>
        <w:rPr>
          <w:rFonts w:cstheme="minorHAnsi"/>
        </w:rPr>
        <w:t xml:space="preserve"> Kao rezultat navedenog, preporuka je davanje vitamina D u dozama od 800 do 1.000 IU/dan djeci sa neurološkim oboljenjima.</w:t>
      </w:r>
      <w:r w:rsidR="00563FE8">
        <w:rPr>
          <w:rFonts w:cstheme="minorHAnsi"/>
        </w:rPr>
        <w:t xml:space="preserve"> (38)</w:t>
      </w:r>
    </w:p>
    <w:p w14:paraId="5D7C37D7" w14:textId="0E01D220" w:rsidR="00AE0A37" w:rsidRDefault="00AE0A37" w:rsidP="00BB1E75">
      <w:pPr>
        <w:spacing w:line="276" w:lineRule="auto"/>
        <w:jc w:val="both"/>
        <w:rPr>
          <w:rFonts w:cstheme="minorHAnsi"/>
        </w:rPr>
      </w:pPr>
      <w:r w:rsidRPr="00BF5A5F">
        <w:rPr>
          <w:rFonts w:cstheme="minorHAnsi"/>
          <w:b/>
          <w:i/>
        </w:rPr>
        <w:t>Infekcije respiratornog trakta i nedostatak vitamina D</w:t>
      </w:r>
      <w:r>
        <w:rPr>
          <w:rFonts w:cstheme="minorHAnsi"/>
        </w:rPr>
        <w:t xml:space="preserve">: Tokom prve godine života, </w:t>
      </w:r>
      <w:r w:rsidR="00236DAC">
        <w:rPr>
          <w:rFonts w:cstheme="minorHAnsi"/>
        </w:rPr>
        <w:t xml:space="preserve">rizik od pojave </w:t>
      </w:r>
      <w:r w:rsidR="00236DAC" w:rsidRPr="00236DAC">
        <w:rPr>
          <w:rFonts w:cstheme="minorHAnsi"/>
        </w:rPr>
        <w:t>respiratorn</w:t>
      </w:r>
      <w:r w:rsidR="00893F2F">
        <w:rPr>
          <w:rFonts w:cstheme="minorHAnsi"/>
        </w:rPr>
        <w:t>og</w:t>
      </w:r>
      <w:r w:rsidR="00236DAC" w:rsidRPr="00236DAC">
        <w:rPr>
          <w:rFonts w:cstheme="minorHAnsi"/>
        </w:rPr>
        <w:t xml:space="preserve"> </w:t>
      </w:r>
      <w:proofErr w:type="spellStart"/>
      <w:r w:rsidR="00236DAC" w:rsidRPr="00236DAC">
        <w:rPr>
          <w:rFonts w:cstheme="minorHAnsi"/>
        </w:rPr>
        <w:t>sincicijsk</w:t>
      </w:r>
      <w:r w:rsidR="00893F2F">
        <w:rPr>
          <w:rFonts w:cstheme="minorHAnsi"/>
        </w:rPr>
        <w:t>og</w:t>
      </w:r>
      <w:proofErr w:type="spellEnd"/>
      <w:r w:rsidR="00236DAC" w:rsidRPr="00236DAC">
        <w:rPr>
          <w:rFonts w:cstheme="minorHAnsi"/>
        </w:rPr>
        <w:t xml:space="preserve"> virusn</w:t>
      </w:r>
      <w:r w:rsidR="00893F2F">
        <w:rPr>
          <w:rFonts w:cstheme="minorHAnsi"/>
        </w:rPr>
        <w:t>og (RSV)</w:t>
      </w:r>
      <w:r w:rsidR="00236DAC" w:rsidRPr="00236DAC">
        <w:rPr>
          <w:rFonts w:cstheme="minorHAnsi"/>
        </w:rPr>
        <w:t xml:space="preserve"> </w:t>
      </w:r>
      <w:proofErr w:type="spellStart"/>
      <w:r w:rsidR="00236DAC" w:rsidRPr="00236DAC">
        <w:rPr>
          <w:rFonts w:cstheme="minorHAnsi"/>
        </w:rPr>
        <w:t>bronhiolitis</w:t>
      </w:r>
      <w:r w:rsidR="00893F2F">
        <w:rPr>
          <w:rFonts w:cstheme="minorHAnsi"/>
        </w:rPr>
        <w:t>a</w:t>
      </w:r>
      <w:proofErr w:type="spellEnd"/>
      <w:r w:rsidR="00893F2F">
        <w:rPr>
          <w:rFonts w:cstheme="minorHAnsi"/>
        </w:rPr>
        <w:t xml:space="preserve"> je veći ukoliko su nivoi vitamina D u krvi </w:t>
      </w:r>
      <w:proofErr w:type="spellStart"/>
      <w:r w:rsidR="00893F2F">
        <w:rPr>
          <w:rFonts w:cstheme="minorHAnsi"/>
        </w:rPr>
        <w:t>pup</w:t>
      </w:r>
      <w:r w:rsidR="00C37E2E">
        <w:rPr>
          <w:rFonts w:cstheme="minorHAnsi"/>
        </w:rPr>
        <w:t>čanika</w:t>
      </w:r>
      <w:proofErr w:type="spellEnd"/>
      <w:r w:rsidR="00893F2F">
        <w:rPr>
          <w:rFonts w:cstheme="minorHAnsi"/>
        </w:rPr>
        <w:t xml:space="preserve"> ˂ 50 </w:t>
      </w:r>
      <w:proofErr w:type="spellStart"/>
      <w:r w:rsidR="00893F2F">
        <w:rPr>
          <w:rFonts w:cstheme="minorHAnsi"/>
        </w:rPr>
        <w:t>nmol</w:t>
      </w:r>
      <w:proofErr w:type="spellEnd"/>
      <w:r w:rsidR="00893F2F">
        <w:rPr>
          <w:rFonts w:cstheme="minorHAnsi"/>
        </w:rPr>
        <w:t xml:space="preserve">/L. </w:t>
      </w:r>
      <w:r w:rsidR="00CC5723">
        <w:rPr>
          <w:rFonts w:cstheme="minorHAnsi"/>
        </w:rPr>
        <w:t xml:space="preserve">(39) </w:t>
      </w:r>
      <w:r w:rsidR="00893F2F">
        <w:rPr>
          <w:rFonts w:cstheme="minorHAnsi"/>
        </w:rPr>
        <w:t>Studije sprovedene u Njemačkoj</w:t>
      </w:r>
      <w:r w:rsidR="00C62245">
        <w:rPr>
          <w:rFonts w:cstheme="minorHAnsi"/>
        </w:rPr>
        <w:t xml:space="preserve"> (40)</w:t>
      </w:r>
      <w:r w:rsidR="00893F2F">
        <w:rPr>
          <w:rFonts w:cstheme="minorHAnsi"/>
        </w:rPr>
        <w:t>, evidentirale su ud</w:t>
      </w:r>
      <w:r w:rsidR="00C37E2E">
        <w:rPr>
          <w:rFonts w:cstheme="minorHAnsi"/>
        </w:rPr>
        <w:t>vostručen</w:t>
      </w:r>
      <w:r w:rsidR="00893F2F">
        <w:rPr>
          <w:rFonts w:cstheme="minorHAnsi"/>
        </w:rPr>
        <w:t xml:space="preserve"> rizik za akutne infekcije donjeg dijela respiratornog trakta (</w:t>
      </w:r>
      <w:proofErr w:type="spellStart"/>
      <w:r w:rsidR="00893F2F">
        <w:rPr>
          <w:rFonts w:cstheme="minorHAnsi"/>
        </w:rPr>
        <w:t>ALRTIs</w:t>
      </w:r>
      <w:proofErr w:type="spellEnd"/>
      <w:r w:rsidR="00893F2F">
        <w:rPr>
          <w:rFonts w:cstheme="minorHAnsi"/>
        </w:rPr>
        <w:t xml:space="preserve">) kod novorođenčadi sa nivoima vitamina D u krvi </w:t>
      </w:r>
      <w:proofErr w:type="spellStart"/>
      <w:r w:rsidR="00893F2F">
        <w:rPr>
          <w:rFonts w:cstheme="minorHAnsi"/>
        </w:rPr>
        <w:t>pup</w:t>
      </w:r>
      <w:r w:rsidR="00C37E2E">
        <w:rPr>
          <w:rFonts w:cstheme="minorHAnsi"/>
        </w:rPr>
        <w:t>čanika</w:t>
      </w:r>
      <w:proofErr w:type="spellEnd"/>
      <w:r w:rsidR="00893F2F">
        <w:rPr>
          <w:rFonts w:cstheme="minorHAnsi"/>
        </w:rPr>
        <w:t xml:space="preserve"> ˂ 25 </w:t>
      </w:r>
      <w:proofErr w:type="spellStart"/>
      <w:r w:rsidR="00893F2F">
        <w:rPr>
          <w:rFonts w:cstheme="minorHAnsi"/>
        </w:rPr>
        <w:t>nmol</w:t>
      </w:r>
      <w:proofErr w:type="spellEnd"/>
      <w:r w:rsidR="00893F2F">
        <w:rPr>
          <w:rFonts w:cstheme="minorHAnsi"/>
        </w:rPr>
        <w:t xml:space="preserve">/L. Dodatno, postoji indicija za vezu između ozbiljnosti nedostatka vitamina D i ozbiljnijih tipova RSV </w:t>
      </w:r>
      <w:proofErr w:type="spellStart"/>
      <w:r w:rsidR="00893F2F">
        <w:rPr>
          <w:rFonts w:cstheme="minorHAnsi"/>
        </w:rPr>
        <w:t>bronhiolitisa</w:t>
      </w:r>
      <w:proofErr w:type="spellEnd"/>
      <w:r w:rsidR="00893F2F">
        <w:rPr>
          <w:rFonts w:cstheme="minorHAnsi"/>
        </w:rPr>
        <w:t xml:space="preserve">. Takva redukcija u odgovoru na RSV može biti povezana sa </w:t>
      </w:r>
      <w:proofErr w:type="spellStart"/>
      <w:r w:rsidR="00893F2F">
        <w:rPr>
          <w:rFonts w:cstheme="minorHAnsi"/>
        </w:rPr>
        <w:t>Fok</w:t>
      </w:r>
      <w:proofErr w:type="spellEnd"/>
      <w:r w:rsidR="00893F2F">
        <w:rPr>
          <w:rFonts w:cstheme="minorHAnsi"/>
        </w:rPr>
        <w:t>-I-</w:t>
      </w:r>
      <w:proofErr w:type="spellStart"/>
      <w:r w:rsidR="00893F2F">
        <w:rPr>
          <w:rFonts w:cstheme="minorHAnsi"/>
        </w:rPr>
        <w:t>polimorfizmom</w:t>
      </w:r>
      <w:proofErr w:type="spellEnd"/>
      <w:r w:rsidR="00893F2F">
        <w:rPr>
          <w:rFonts w:cstheme="minorHAnsi"/>
        </w:rPr>
        <w:t xml:space="preserve"> receptora vitamina D i vitaminom D posredovanim nižim </w:t>
      </w:r>
      <w:proofErr w:type="spellStart"/>
      <w:r w:rsidR="00893F2F">
        <w:rPr>
          <w:rFonts w:cstheme="minorHAnsi"/>
        </w:rPr>
        <w:t>inflamatornim</w:t>
      </w:r>
      <w:proofErr w:type="spellEnd"/>
      <w:r w:rsidR="00893F2F">
        <w:rPr>
          <w:rFonts w:cstheme="minorHAnsi"/>
        </w:rPr>
        <w:t xml:space="preserve"> odgovorom </w:t>
      </w:r>
      <w:r w:rsidR="00BF5A5F">
        <w:rPr>
          <w:rFonts w:cstheme="minorHAnsi"/>
        </w:rPr>
        <w:t>disajnih</w:t>
      </w:r>
      <w:r w:rsidR="00893F2F">
        <w:rPr>
          <w:rFonts w:cstheme="minorHAnsi"/>
        </w:rPr>
        <w:t xml:space="preserve"> epitelnih stanica. </w:t>
      </w:r>
      <w:r w:rsidR="00D6266C">
        <w:rPr>
          <w:rFonts w:cstheme="minorHAnsi"/>
        </w:rPr>
        <w:t xml:space="preserve">(41) </w:t>
      </w:r>
      <w:r w:rsidR="00893F2F">
        <w:rPr>
          <w:rFonts w:cstheme="minorHAnsi"/>
        </w:rPr>
        <w:t xml:space="preserve">Nadalje, vitamin D je doveden u vezu sa smanjenjem rizika od influence, boljim odgovorom na vakcinaciju jer aktivira T stanice. </w:t>
      </w:r>
      <w:r w:rsidR="00461404">
        <w:rPr>
          <w:rFonts w:cstheme="minorHAnsi"/>
        </w:rPr>
        <w:t>(42 – 43)</w:t>
      </w:r>
    </w:p>
    <w:p w14:paraId="68025778" w14:textId="0872CC73" w:rsidR="00893F2F" w:rsidRDefault="00893F2F" w:rsidP="00BB1E75">
      <w:pPr>
        <w:spacing w:line="276" w:lineRule="auto"/>
        <w:jc w:val="both"/>
        <w:rPr>
          <w:rFonts w:cstheme="minorHAnsi"/>
        </w:rPr>
      </w:pPr>
      <w:r w:rsidRPr="00BF5A5F">
        <w:rPr>
          <w:rFonts w:cstheme="minorHAnsi"/>
          <w:b/>
          <w:i/>
        </w:rPr>
        <w:t>Astma i nedostatak vitamina D</w:t>
      </w:r>
      <w:r>
        <w:rPr>
          <w:rFonts w:cstheme="minorHAnsi"/>
        </w:rPr>
        <w:t xml:space="preserve">: </w:t>
      </w:r>
      <w:r w:rsidR="00BF5A5F">
        <w:rPr>
          <w:rFonts w:cstheme="minorHAnsi"/>
        </w:rPr>
        <w:t>nekolicina studija je pokazala vezu između nedostat</w:t>
      </w:r>
      <w:r w:rsidR="00F23797">
        <w:rPr>
          <w:rFonts w:cstheme="minorHAnsi"/>
        </w:rPr>
        <w:t>ka</w:t>
      </w:r>
      <w:r w:rsidR="00BF5A5F">
        <w:rPr>
          <w:rFonts w:cstheme="minorHAnsi"/>
        </w:rPr>
        <w:t xml:space="preserve"> vitamina D i ozbiljnosti astme. </w:t>
      </w:r>
      <w:r w:rsidR="00542D6B">
        <w:rPr>
          <w:rFonts w:cstheme="minorHAnsi"/>
        </w:rPr>
        <w:t>Sprovodeći studiju</w:t>
      </w:r>
      <w:r w:rsidR="00D947A2">
        <w:rPr>
          <w:rFonts w:cstheme="minorHAnsi"/>
        </w:rPr>
        <w:t xml:space="preserve"> (44)</w:t>
      </w:r>
      <w:r w:rsidR="00542D6B">
        <w:rPr>
          <w:rFonts w:cstheme="minorHAnsi"/>
        </w:rPr>
        <w:t xml:space="preserve">, </w:t>
      </w:r>
      <w:proofErr w:type="spellStart"/>
      <w:r w:rsidR="00542D6B">
        <w:rPr>
          <w:rFonts w:cstheme="minorHAnsi"/>
        </w:rPr>
        <w:t>Einisman</w:t>
      </w:r>
      <w:proofErr w:type="spellEnd"/>
      <w:r w:rsidR="00542D6B">
        <w:rPr>
          <w:rFonts w:cstheme="minorHAnsi"/>
        </w:rPr>
        <w:t xml:space="preserve"> nije našao razliku u nivoima 25(OH)D između zdrave djece i djeca sa astmom. No, unutar grupe djece sa astmom, </w:t>
      </w:r>
      <w:proofErr w:type="spellStart"/>
      <w:r w:rsidR="00542D6B">
        <w:rPr>
          <w:rFonts w:cstheme="minorHAnsi"/>
        </w:rPr>
        <w:t>primjećene</w:t>
      </w:r>
      <w:proofErr w:type="spellEnd"/>
      <w:r w:rsidR="00542D6B">
        <w:rPr>
          <w:rFonts w:cstheme="minorHAnsi"/>
        </w:rPr>
        <w:t xml:space="preserve"> su značajne razlike u nivoima 25(OH)D. Nedavna meta-analiza koja se bavila analizom studija o </w:t>
      </w:r>
      <w:r w:rsidR="00C37E2E">
        <w:rPr>
          <w:rFonts w:cstheme="minorHAnsi"/>
        </w:rPr>
        <w:t xml:space="preserve">suplementaciji </w:t>
      </w:r>
      <w:r w:rsidR="00542D6B">
        <w:rPr>
          <w:rFonts w:cstheme="minorHAnsi"/>
        </w:rPr>
        <w:t>vitamin</w:t>
      </w:r>
      <w:r w:rsidR="00C37E2E">
        <w:rPr>
          <w:rFonts w:cstheme="minorHAnsi"/>
        </w:rPr>
        <w:t>a</w:t>
      </w:r>
      <w:r w:rsidR="00542D6B">
        <w:rPr>
          <w:rFonts w:cstheme="minorHAnsi"/>
        </w:rPr>
        <w:t xml:space="preserve"> D dozama od 500 do 1.200 IU/dan kod djece sa astmom je pokazala</w:t>
      </w:r>
      <w:r w:rsidR="00A26A4B">
        <w:rPr>
          <w:rFonts w:cstheme="minorHAnsi"/>
        </w:rPr>
        <w:t xml:space="preserve"> značajnu redukciju </w:t>
      </w:r>
      <w:r w:rsidR="00F3129E">
        <w:rPr>
          <w:rFonts w:cstheme="minorHAnsi"/>
        </w:rPr>
        <w:t xml:space="preserve">rizika od </w:t>
      </w:r>
      <w:proofErr w:type="spellStart"/>
      <w:r w:rsidR="00F3129E">
        <w:rPr>
          <w:rFonts w:cstheme="minorHAnsi"/>
        </w:rPr>
        <w:t>egzacerbacija</w:t>
      </w:r>
      <w:proofErr w:type="spellEnd"/>
      <w:r w:rsidR="00F3129E">
        <w:rPr>
          <w:rFonts w:cstheme="minorHAnsi"/>
        </w:rPr>
        <w:t xml:space="preserve">. </w:t>
      </w:r>
      <w:r w:rsidR="00AA4029">
        <w:rPr>
          <w:rFonts w:cstheme="minorHAnsi"/>
        </w:rPr>
        <w:t>(45)</w:t>
      </w:r>
    </w:p>
    <w:p w14:paraId="3205B496" w14:textId="723AC86F" w:rsidR="00F3129E" w:rsidRDefault="00F3129E" w:rsidP="00BB1E75">
      <w:pPr>
        <w:spacing w:line="276" w:lineRule="auto"/>
        <w:jc w:val="both"/>
        <w:rPr>
          <w:rFonts w:cstheme="minorHAnsi"/>
        </w:rPr>
      </w:pPr>
      <w:r w:rsidRPr="00F3129E">
        <w:rPr>
          <w:rFonts w:cstheme="minorHAnsi"/>
          <w:b/>
          <w:i/>
        </w:rPr>
        <w:t>Drugi klinički poremećaji povezani sa nedostatkom vitamina D</w:t>
      </w:r>
      <w:r>
        <w:rPr>
          <w:rFonts w:cstheme="minorHAnsi"/>
        </w:rPr>
        <w:t xml:space="preserve">: Interesantnu povezanost između nedostatka vitamina D i </w:t>
      </w:r>
      <w:proofErr w:type="spellStart"/>
      <w:r>
        <w:rPr>
          <w:rFonts w:cstheme="minorHAnsi"/>
        </w:rPr>
        <w:t>menarhe</w:t>
      </w:r>
      <w:proofErr w:type="spellEnd"/>
      <w:r>
        <w:rPr>
          <w:rFonts w:cstheme="minorHAnsi"/>
        </w:rPr>
        <w:t xml:space="preserve">, koja se pojavila 9 mjeseci ranije kod djevojčica sa nedostatkom vitamina D u odnosnu na djevojčice sa normalnim </w:t>
      </w:r>
      <w:r w:rsidR="00C37E2E">
        <w:rPr>
          <w:rFonts w:cstheme="minorHAnsi"/>
        </w:rPr>
        <w:t>nivoima</w:t>
      </w:r>
      <w:r>
        <w:rPr>
          <w:rFonts w:cstheme="minorHAnsi"/>
        </w:rPr>
        <w:t xml:space="preserve"> vitamina D, obuhvatila je jedna studija sprovedena u Bogoti (Kolumbija). </w:t>
      </w:r>
      <w:r w:rsidR="00B928EA">
        <w:rPr>
          <w:rFonts w:cstheme="minorHAnsi"/>
        </w:rPr>
        <w:t xml:space="preserve">(46) </w:t>
      </w:r>
      <w:r w:rsidR="00D0643D">
        <w:rPr>
          <w:rFonts w:cstheme="minorHAnsi"/>
        </w:rPr>
        <w:t>Obrnuta povezanost između nivoa 25(OH)D i sistoličkog krvnog tlaka kod adolescenata je također prim</w:t>
      </w:r>
      <w:r w:rsidR="00C37E2E">
        <w:rPr>
          <w:rFonts w:cstheme="minorHAnsi"/>
        </w:rPr>
        <w:t>i</w:t>
      </w:r>
      <w:r w:rsidR="00D0643D">
        <w:rPr>
          <w:rFonts w:cstheme="minorHAnsi"/>
        </w:rPr>
        <w:t>jećena.</w:t>
      </w:r>
      <w:r w:rsidR="00BD2004">
        <w:rPr>
          <w:rFonts w:cstheme="minorHAnsi"/>
        </w:rPr>
        <w:t xml:space="preserve"> (47)</w:t>
      </w:r>
      <w:r w:rsidR="00D0643D">
        <w:rPr>
          <w:rFonts w:cstheme="minorHAnsi"/>
        </w:rPr>
        <w:t xml:space="preserve"> Neke nedavne studije pokazuju i povezanost između nekih formi </w:t>
      </w:r>
      <w:proofErr w:type="spellStart"/>
      <w:r w:rsidR="00D0643D">
        <w:rPr>
          <w:rFonts w:cstheme="minorHAnsi"/>
        </w:rPr>
        <w:t>kancera</w:t>
      </w:r>
      <w:proofErr w:type="spellEnd"/>
      <w:r w:rsidR="00D0643D">
        <w:rPr>
          <w:rFonts w:cstheme="minorHAnsi"/>
        </w:rPr>
        <w:t xml:space="preserve"> kod odraslih i djece. </w:t>
      </w:r>
      <w:r w:rsidR="00136A8C">
        <w:rPr>
          <w:rFonts w:cstheme="minorHAnsi"/>
        </w:rPr>
        <w:t>(48)</w:t>
      </w:r>
    </w:p>
    <w:p w14:paraId="5428510B" w14:textId="29BA039D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60297819" w14:textId="31F13DA9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0ED7496D" w14:textId="74288395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514CD2AE" w14:textId="0B3B3841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79E9BD52" w14:textId="1710FD56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01D37A2D" w14:textId="2902D116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6C1C106F" w14:textId="77777777" w:rsidR="00C37E2E" w:rsidRDefault="00C37E2E" w:rsidP="00BB1E75">
      <w:pPr>
        <w:spacing w:line="276" w:lineRule="auto"/>
        <w:jc w:val="both"/>
        <w:rPr>
          <w:rFonts w:cstheme="minorHAnsi"/>
        </w:rPr>
      </w:pPr>
    </w:p>
    <w:p w14:paraId="62F7F37A" w14:textId="78ED213A" w:rsidR="00EC08BB" w:rsidRPr="00EC08BB" w:rsidRDefault="00EC08BB" w:rsidP="00BB1E75">
      <w:pPr>
        <w:spacing w:line="276" w:lineRule="auto"/>
        <w:jc w:val="both"/>
        <w:rPr>
          <w:rFonts w:cstheme="minorHAnsi"/>
          <w:b/>
          <w:i/>
          <w:sz w:val="16"/>
          <w:szCs w:val="16"/>
        </w:rPr>
      </w:pPr>
      <w:r w:rsidRPr="00EC08BB">
        <w:rPr>
          <w:rFonts w:cstheme="minorHAnsi"/>
          <w:b/>
          <w:i/>
          <w:sz w:val="16"/>
          <w:szCs w:val="16"/>
        </w:rPr>
        <w:lastRenderedPageBreak/>
        <w:t>Tabela preporuka suplementacije vitaminom D kod različitih oboljenja u pedijatrijskoj populaciji</w:t>
      </w:r>
    </w:p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2405"/>
        <w:gridCol w:w="6657"/>
      </w:tblGrid>
      <w:tr w:rsidR="0039418F" w:rsidRPr="007C19E7" w14:paraId="63C8E2DA" w14:textId="77777777" w:rsidTr="002E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AC1AC4F" w14:textId="63C30AFE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Oboljenje</w:t>
            </w:r>
          </w:p>
        </w:tc>
        <w:tc>
          <w:tcPr>
            <w:tcW w:w="3673" w:type="pct"/>
          </w:tcPr>
          <w:p w14:paraId="32FC13AA" w14:textId="531FDCAB" w:rsidR="0039418F" w:rsidRPr="007C19E7" w:rsidRDefault="0039418F" w:rsidP="00BB1E7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Preporuke</w:t>
            </w:r>
          </w:p>
        </w:tc>
      </w:tr>
      <w:tr w:rsidR="0039418F" w:rsidRPr="007C19E7" w14:paraId="65B11F66" w14:textId="77777777" w:rsidTr="002E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CB3C3D3" w14:textId="5C9DF3C4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Pretilost</w:t>
            </w:r>
          </w:p>
        </w:tc>
        <w:tc>
          <w:tcPr>
            <w:tcW w:w="3673" w:type="pct"/>
          </w:tcPr>
          <w:p w14:paraId="076C4E72" w14:textId="6D8DE6A0" w:rsidR="0039418F" w:rsidRPr="007C19E7" w:rsidRDefault="00D83E68" w:rsidP="00BB1E7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</w:t>
            </w:r>
            <w:r w:rsidR="0039418F" w:rsidRPr="007C19E7">
              <w:rPr>
                <w:rFonts w:cstheme="minorHAnsi"/>
                <w:sz w:val="18"/>
                <w:szCs w:val="18"/>
              </w:rPr>
              <w:t>rimjeniti</w:t>
            </w:r>
            <w:proofErr w:type="spellEnd"/>
            <w:r w:rsidR="0039418F" w:rsidRPr="007C19E7">
              <w:rPr>
                <w:rFonts w:cstheme="minorHAnsi"/>
                <w:sz w:val="18"/>
                <w:szCs w:val="18"/>
              </w:rPr>
              <w:t xml:space="preserve"> 1.200 do 2.000 IU/dan</w:t>
            </w:r>
            <w:r w:rsidR="00393C3F">
              <w:rPr>
                <w:rFonts w:cstheme="minorHAnsi"/>
                <w:sz w:val="18"/>
                <w:szCs w:val="18"/>
              </w:rPr>
              <w:t>.</w:t>
            </w:r>
            <w:r w:rsidR="003756BA" w:rsidRPr="003756BA">
              <w:rPr>
                <w:rFonts w:cstheme="minorHAnsi"/>
                <w:sz w:val="18"/>
                <w:szCs w:val="18"/>
                <w:vertAlign w:val="superscript"/>
              </w:rPr>
              <w:t>15</w:t>
            </w:r>
          </w:p>
        </w:tc>
      </w:tr>
      <w:tr w:rsidR="0039418F" w:rsidRPr="007C19E7" w14:paraId="4DACABEA" w14:textId="77777777" w:rsidTr="002E1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5E0DD863" w14:textId="2E234DDA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Inzulinska rezistencija</w:t>
            </w:r>
          </w:p>
        </w:tc>
        <w:tc>
          <w:tcPr>
            <w:tcW w:w="3673" w:type="pct"/>
          </w:tcPr>
          <w:p w14:paraId="54334360" w14:textId="77D5803B" w:rsidR="0039418F" w:rsidRPr="007C19E7" w:rsidRDefault="0039418F" w:rsidP="00BB1E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7C19E7">
              <w:rPr>
                <w:rFonts w:cstheme="minorHAnsi"/>
                <w:sz w:val="18"/>
                <w:szCs w:val="18"/>
              </w:rPr>
              <w:t>Primjeniti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4.000 IU/dan tokom 6 mjeseci kod pretile djece i adolescenata sa nedostatkom vitamina D</w:t>
            </w:r>
            <w:r w:rsidR="00393C3F">
              <w:rPr>
                <w:rFonts w:cstheme="minorHAnsi"/>
                <w:sz w:val="18"/>
                <w:szCs w:val="18"/>
              </w:rPr>
              <w:t>.</w:t>
            </w:r>
            <w:r w:rsidR="00EB355F" w:rsidRPr="00EB355F">
              <w:rPr>
                <w:rFonts w:cstheme="minorHAnsi"/>
                <w:sz w:val="18"/>
                <w:szCs w:val="18"/>
                <w:vertAlign w:val="superscript"/>
              </w:rPr>
              <w:t>18</w:t>
            </w:r>
          </w:p>
        </w:tc>
      </w:tr>
      <w:tr w:rsidR="0039418F" w:rsidRPr="007C19E7" w14:paraId="638C6CD5" w14:textId="77777777" w:rsidTr="002E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15783808" w14:textId="1CBF0912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Metabolički sindrom</w:t>
            </w:r>
          </w:p>
        </w:tc>
        <w:tc>
          <w:tcPr>
            <w:tcW w:w="3673" w:type="pct"/>
          </w:tcPr>
          <w:p w14:paraId="400A3B29" w14:textId="0BAF6232" w:rsidR="0039418F" w:rsidRPr="007C19E7" w:rsidRDefault="0039418F" w:rsidP="00BB1E7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 xml:space="preserve">Studije i dalje </w:t>
            </w:r>
            <w:proofErr w:type="spellStart"/>
            <w:r w:rsidRPr="007C19E7">
              <w:rPr>
                <w:rFonts w:cstheme="minorHAnsi"/>
                <w:sz w:val="18"/>
                <w:szCs w:val="18"/>
              </w:rPr>
              <w:t>pokušavaju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razjasniti potrebne doze vitamina D kao i trajanje terapije</w:t>
            </w:r>
            <w:r w:rsidR="00393C3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418F" w:rsidRPr="007C19E7" w14:paraId="2FDD3785" w14:textId="77777777" w:rsidTr="002E1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485535A0" w14:textId="306DB691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Dijabetes tip 1</w:t>
            </w:r>
          </w:p>
        </w:tc>
        <w:tc>
          <w:tcPr>
            <w:tcW w:w="3673" w:type="pct"/>
          </w:tcPr>
          <w:p w14:paraId="07F72899" w14:textId="0A70BC04" w:rsidR="0039418F" w:rsidRPr="007C19E7" w:rsidRDefault="0039418F" w:rsidP="00BB1E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7C19E7">
              <w:rPr>
                <w:rFonts w:cstheme="minorHAnsi"/>
                <w:sz w:val="18"/>
                <w:szCs w:val="18"/>
              </w:rPr>
              <w:t>Primjeniti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2.000 IU/dan</w:t>
            </w:r>
            <w:r w:rsidR="00393C3F">
              <w:rPr>
                <w:rFonts w:cstheme="minorHAnsi"/>
                <w:sz w:val="18"/>
                <w:szCs w:val="18"/>
              </w:rPr>
              <w:t>.</w:t>
            </w:r>
            <w:r w:rsidR="009972B8" w:rsidRPr="009972B8">
              <w:rPr>
                <w:rFonts w:cstheme="minorHAnsi"/>
                <w:sz w:val="18"/>
                <w:szCs w:val="18"/>
                <w:vertAlign w:val="superscript"/>
              </w:rPr>
              <w:t>49</w:t>
            </w:r>
          </w:p>
        </w:tc>
      </w:tr>
      <w:tr w:rsidR="0039418F" w:rsidRPr="007C19E7" w14:paraId="000FCEE9" w14:textId="77777777" w:rsidTr="002E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7F22C961" w14:textId="394C40B1" w:rsidR="0039418F" w:rsidRPr="007C19E7" w:rsidRDefault="0039418F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Cistična fibroza</w:t>
            </w:r>
          </w:p>
        </w:tc>
        <w:tc>
          <w:tcPr>
            <w:tcW w:w="3673" w:type="pct"/>
          </w:tcPr>
          <w:p w14:paraId="22CF482E" w14:textId="6D62AB25" w:rsidR="0039418F" w:rsidRPr="007C19E7" w:rsidRDefault="007C19E7" w:rsidP="007C19E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39418F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jeca</w:t>
            </w:r>
            <w:proofErr w:type="spellEnd"/>
            <w:r w:rsidR="0039418F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˂ od 1 </w:t>
            </w:r>
            <w:proofErr w:type="spellStart"/>
            <w:r w:rsidR="0039418F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godine</w:t>
            </w:r>
            <w:proofErr w:type="spellEnd"/>
            <w:r w:rsidR="0039418F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400 – 800 IU/dan;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ako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je 25(OH)D ˂ 75 nmol/L,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povećati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dozu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800 - 2.000 IU/dan</w:t>
            </w:r>
          </w:p>
          <w:p w14:paraId="73DB69E1" w14:textId="7D89984F" w:rsidR="00D435DB" w:rsidRPr="007C19E7" w:rsidRDefault="007C19E7" w:rsidP="007C19E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jeca</w:t>
            </w:r>
            <w:proofErr w:type="spellEnd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od 1 do 10 </w:t>
            </w:r>
            <w:proofErr w:type="spellStart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godina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: 800 – 1.000 IU/dan, do 4.000 IU/dan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ako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je 25(OH)D ˂ 75 nmol/L</w:t>
            </w:r>
          </w:p>
          <w:p w14:paraId="7494806D" w14:textId="1998E066" w:rsidR="00D435DB" w:rsidRPr="007C19E7" w:rsidRDefault="007C19E7" w:rsidP="007C19E7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jeca</w:t>
            </w:r>
            <w:proofErr w:type="spellEnd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starija</w:t>
            </w:r>
            <w:proofErr w:type="spellEnd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od 10 </w:t>
            </w:r>
            <w:proofErr w:type="spellStart"/>
            <w:r w:rsidR="00D435DB" w:rsidRPr="002D59C6">
              <w:rPr>
                <w:rFonts w:asciiTheme="minorHAnsi" w:hAnsiTheme="minorHAnsi" w:cstheme="minorHAnsi"/>
                <w:i/>
                <w:sz w:val="18"/>
                <w:szCs w:val="18"/>
              </w:rPr>
              <w:t>godina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: 800 – 2.000 IU/dan, do 10.000 IU/dan </w:t>
            </w:r>
            <w:proofErr w:type="spellStart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>ako</w:t>
            </w:r>
            <w:proofErr w:type="spellEnd"/>
            <w:r w:rsidR="00D435DB" w:rsidRPr="007C19E7">
              <w:rPr>
                <w:rFonts w:asciiTheme="minorHAnsi" w:hAnsiTheme="minorHAnsi" w:cstheme="minorHAnsi"/>
                <w:sz w:val="18"/>
                <w:szCs w:val="18"/>
              </w:rPr>
              <w:t xml:space="preserve"> je 25(OH)D ˂ 75 nmol/L</w:t>
            </w:r>
            <w:r w:rsidR="00A136D8" w:rsidRPr="00A136D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35</w:t>
            </w:r>
          </w:p>
        </w:tc>
      </w:tr>
      <w:tr w:rsidR="0039418F" w:rsidRPr="007C19E7" w14:paraId="2AE5CA0B" w14:textId="77777777" w:rsidTr="002E1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EA138DB" w14:textId="17D8DE98" w:rsidR="0039418F" w:rsidRPr="007C19E7" w:rsidRDefault="00563129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 w:rsidRPr="007C19E7">
              <w:rPr>
                <w:rFonts w:cstheme="minorHAnsi"/>
                <w:sz w:val="18"/>
                <w:szCs w:val="18"/>
              </w:rPr>
              <w:t>Celijakija</w:t>
            </w:r>
            <w:proofErr w:type="spellEnd"/>
          </w:p>
        </w:tc>
        <w:tc>
          <w:tcPr>
            <w:tcW w:w="3673" w:type="pct"/>
          </w:tcPr>
          <w:p w14:paraId="7A0EF54F" w14:textId="497D0963" w:rsidR="0039418F" w:rsidRPr="007C19E7" w:rsidRDefault="00563129" w:rsidP="00BB1E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7C19E7">
              <w:rPr>
                <w:rFonts w:cstheme="minorHAnsi"/>
                <w:sz w:val="18"/>
                <w:szCs w:val="18"/>
              </w:rPr>
              <w:t>Bezglutenska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ishrana. </w:t>
            </w:r>
            <w:proofErr w:type="spellStart"/>
            <w:r w:rsidRPr="007C19E7">
              <w:rPr>
                <w:rFonts w:cstheme="minorHAnsi"/>
                <w:sz w:val="18"/>
                <w:szCs w:val="18"/>
              </w:rPr>
              <w:t>Primjeniti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400 – 600 IU/dan i pridržavati se potreba kalcija</w:t>
            </w:r>
            <w:r w:rsidR="0009045B">
              <w:rPr>
                <w:rFonts w:cstheme="minorHAnsi"/>
                <w:sz w:val="18"/>
                <w:szCs w:val="18"/>
              </w:rPr>
              <w:t>.</w:t>
            </w:r>
            <w:r w:rsidR="00B029FF" w:rsidRPr="00B029FF">
              <w:rPr>
                <w:rFonts w:cstheme="minorHAnsi"/>
                <w:sz w:val="18"/>
                <w:szCs w:val="18"/>
                <w:vertAlign w:val="superscript"/>
              </w:rPr>
              <w:t>37</w:t>
            </w:r>
          </w:p>
        </w:tc>
      </w:tr>
      <w:tr w:rsidR="0039418F" w:rsidRPr="007C19E7" w14:paraId="4C48910D" w14:textId="77777777" w:rsidTr="002E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3A24E084" w14:textId="1B536A27" w:rsidR="0039418F" w:rsidRPr="007C19E7" w:rsidRDefault="00563129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Infekcije respiratornog trakta</w:t>
            </w:r>
          </w:p>
        </w:tc>
        <w:tc>
          <w:tcPr>
            <w:tcW w:w="3673" w:type="pct"/>
          </w:tcPr>
          <w:p w14:paraId="33C5F4AE" w14:textId="0683DC2B" w:rsidR="0039418F" w:rsidRPr="007C19E7" w:rsidRDefault="00563129" w:rsidP="00BB1E7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 xml:space="preserve">Studije i dalje </w:t>
            </w:r>
            <w:proofErr w:type="spellStart"/>
            <w:r w:rsidRPr="007C19E7">
              <w:rPr>
                <w:rFonts w:cstheme="minorHAnsi"/>
                <w:sz w:val="18"/>
                <w:szCs w:val="18"/>
              </w:rPr>
              <w:t>pokušavaju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razjasniti potrebne doze vitamina D, kao i trajanje terapije</w:t>
            </w:r>
            <w:r w:rsidR="0009045B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9418F" w:rsidRPr="007C19E7" w14:paraId="0413E2E2" w14:textId="77777777" w:rsidTr="002E1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50B0337" w14:textId="4912F651" w:rsidR="0039418F" w:rsidRPr="007C19E7" w:rsidRDefault="00563129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Astma</w:t>
            </w:r>
          </w:p>
        </w:tc>
        <w:tc>
          <w:tcPr>
            <w:tcW w:w="3673" w:type="pct"/>
          </w:tcPr>
          <w:p w14:paraId="32871A97" w14:textId="2F8C3DEC" w:rsidR="0039418F" w:rsidRPr="007C19E7" w:rsidRDefault="00563129" w:rsidP="00BB1E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Nema jakih dokaza za suplementaciju dozama od 500 do 1.200 IU/dan</w:t>
            </w:r>
            <w:r w:rsidR="0009045B">
              <w:rPr>
                <w:rFonts w:cstheme="minorHAnsi"/>
                <w:sz w:val="18"/>
                <w:szCs w:val="18"/>
              </w:rPr>
              <w:t>.</w:t>
            </w:r>
            <w:r w:rsidR="00F407DE" w:rsidRPr="00F407DE">
              <w:rPr>
                <w:rFonts w:cstheme="minorHAnsi"/>
                <w:sz w:val="18"/>
                <w:szCs w:val="18"/>
                <w:vertAlign w:val="superscript"/>
              </w:rPr>
              <w:t>50</w:t>
            </w:r>
          </w:p>
        </w:tc>
      </w:tr>
      <w:tr w:rsidR="0039418F" w:rsidRPr="007C19E7" w14:paraId="39038434" w14:textId="77777777" w:rsidTr="002E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7" w:type="pct"/>
          </w:tcPr>
          <w:p w14:paraId="2B1147AB" w14:textId="24860BDB" w:rsidR="0039418F" w:rsidRPr="007C19E7" w:rsidRDefault="00563129" w:rsidP="00BB1E75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7C19E7">
              <w:rPr>
                <w:rFonts w:cstheme="minorHAnsi"/>
                <w:sz w:val="18"/>
                <w:szCs w:val="18"/>
              </w:rPr>
              <w:t>Neurološka oboljenja</w:t>
            </w:r>
          </w:p>
        </w:tc>
        <w:tc>
          <w:tcPr>
            <w:tcW w:w="3673" w:type="pct"/>
          </w:tcPr>
          <w:p w14:paraId="50F74449" w14:textId="02CDD1E9" w:rsidR="0039418F" w:rsidRPr="007C19E7" w:rsidRDefault="00563129" w:rsidP="00BB1E7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7C19E7">
              <w:rPr>
                <w:rFonts w:cstheme="minorHAnsi"/>
                <w:sz w:val="18"/>
                <w:szCs w:val="18"/>
              </w:rPr>
              <w:t>Primjeniti</w:t>
            </w:r>
            <w:proofErr w:type="spellEnd"/>
            <w:r w:rsidRPr="007C19E7">
              <w:rPr>
                <w:rFonts w:cstheme="minorHAnsi"/>
                <w:sz w:val="18"/>
                <w:szCs w:val="18"/>
              </w:rPr>
              <w:t xml:space="preserve"> 800 – 1.000 IU/dan</w:t>
            </w:r>
            <w:r w:rsidR="0009045B">
              <w:rPr>
                <w:rFonts w:cstheme="minorHAnsi"/>
                <w:sz w:val="18"/>
                <w:szCs w:val="18"/>
              </w:rPr>
              <w:t>.</w:t>
            </w:r>
            <w:r w:rsidR="00F407DE" w:rsidRPr="00F407DE">
              <w:rPr>
                <w:rFonts w:cstheme="minorHAnsi"/>
                <w:sz w:val="18"/>
                <w:szCs w:val="18"/>
                <w:vertAlign w:val="superscript"/>
              </w:rPr>
              <w:t>38</w:t>
            </w:r>
          </w:p>
        </w:tc>
      </w:tr>
    </w:tbl>
    <w:p w14:paraId="1C6F573A" w14:textId="70E9C17A" w:rsidR="00A26D2E" w:rsidRDefault="00A26D2E" w:rsidP="00BB1E75">
      <w:pPr>
        <w:spacing w:line="276" w:lineRule="auto"/>
        <w:jc w:val="both"/>
        <w:rPr>
          <w:rFonts w:cstheme="minorHAnsi"/>
        </w:rPr>
      </w:pPr>
    </w:p>
    <w:p w14:paraId="37E8D794" w14:textId="77777777" w:rsidR="00C37E2E" w:rsidRDefault="00C37E2E" w:rsidP="00D301AA">
      <w:pPr>
        <w:spacing w:line="276" w:lineRule="auto"/>
        <w:jc w:val="both"/>
        <w:rPr>
          <w:rFonts w:cstheme="minorHAnsi"/>
        </w:rPr>
      </w:pPr>
    </w:p>
    <w:p w14:paraId="033A7FE0" w14:textId="0C7F50BB" w:rsidR="00D301AA" w:rsidRDefault="00D301AA" w:rsidP="00D301A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Klinička praksa i preporuke su jasne da je suplementacija vitaminom D iznimno važna u pedijatrijskoj populaciji – od prijevremeno rođenih beba do adolescenata i to ne samo kao zaštita od nedostatka vitamina D, nego i podrška kod </w:t>
      </w:r>
      <w:proofErr w:type="spellStart"/>
      <w:r>
        <w:rPr>
          <w:rFonts w:cstheme="minorHAnsi"/>
        </w:rPr>
        <w:t>nekoštanih</w:t>
      </w:r>
      <w:proofErr w:type="spellEnd"/>
      <w:r>
        <w:rPr>
          <w:rFonts w:cstheme="minorHAnsi"/>
        </w:rPr>
        <w:t xml:space="preserve"> oboljenja. Dakle, zadovoljavajući rezultati u  prevenciji nedostatka vitamina D</w:t>
      </w:r>
      <w:r w:rsidR="00F43801">
        <w:rPr>
          <w:rFonts w:cstheme="minorHAnsi"/>
        </w:rPr>
        <w:t xml:space="preserve">, </w:t>
      </w:r>
      <w:r>
        <w:rPr>
          <w:rFonts w:cstheme="minorHAnsi"/>
        </w:rPr>
        <w:t xml:space="preserve">liječenju nedostatka vitamina D uslijed </w:t>
      </w:r>
      <w:proofErr w:type="spellStart"/>
      <w:r>
        <w:rPr>
          <w:rFonts w:cstheme="minorHAnsi"/>
        </w:rPr>
        <w:t>nekoštanih</w:t>
      </w:r>
      <w:proofErr w:type="spellEnd"/>
      <w:r>
        <w:rPr>
          <w:rFonts w:cstheme="minorHAnsi"/>
        </w:rPr>
        <w:t xml:space="preserve"> oboljenja i</w:t>
      </w:r>
      <w:r w:rsidR="00F43801">
        <w:rPr>
          <w:rFonts w:cstheme="minorHAnsi"/>
        </w:rPr>
        <w:t xml:space="preserve"> </w:t>
      </w:r>
      <w:r>
        <w:rPr>
          <w:rFonts w:cstheme="minorHAnsi"/>
        </w:rPr>
        <w:t xml:space="preserve">liječenju rahitisa mogu se očekivati </w:t>
      </w:r>
      <w:r w:rsidR="00F9240B">
        <w:rPr>
          <w:rFonts w:cstheme="minorHAnsi"/>
        </w:rPr>
        <w:t xml:space="preserve">kod pedijatrijske populacije obuhvaćene profilaktičkim mjerama, kao i kod djece i adolescenata iz rizičnih </w:t>
      </w:r>
      <w:r w:rsidR="00C37E2E">
        <w:rPr>
          <w:rFonts w:cstheme="minorHAnsi"/>
        </w:rPr>
        <w:t>grupa</w:t>
      </w:r>
      <w:r w:rsidR="00587517">
        <w:rPr>
          <w:rFonts w:cstheme="minorHAnsi"/>
        </w:rPr>
        <w:t xml:space="preserve"> i oboljelih od </w:t>
      </w:r>
      <w:proofErr w:type="spellStart"/>
      <w:r w:rsidR="00587517">
        <w:rPr>
          <w:rFonts w:cstheme="minorHAnsi"/>
        </w:rPr>
        <w:t>nekoštanih</w:t>
      </w:r>
      <w:proofErr w:type="spellEnd"/>
      <w:r w:rsidR="00587517">
        <w:rPr>
          <w:rFonts w:cstheme="minorHAnsi"/>
        </w:rPr>
        <w:t xml:space="preserve"> oboljenja koja kao posljedicu imaju nedostatak vitamina D.</w:t>
      </w:r>
    </w:p>
    <w:p w14:paraId="5E3F47A6" w14:textId="0FB76CCB" w:rsidR="00B949B0" w:rsidRDefault="00B949B0" w:rsidP="00D301AA">
      <w:pPr>
        <w:spacing w:line="276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Oleovit</w:t>
      </w:r>
      <w:proofErr w:type="spellEnd"/>
      <w:r>
        <w:rPr>
          <w:rFonts w:cstheme="minorHAnsi"/>
        </w:rPr>
        <w:t xml:space="preserve"> D3 sadrži 14.400 IU/</w:t>
      </w:r>
      <w:proofErr w:type="spellStart"/>
      <w:r>
        <w:rPr>
          <w:rFonts w:cstheme="minorHAnsi"/>
        </w:rPr>
        <w:t>mL</w:t>
      </w:r>
      <w:proofErr w:type="spellEnd"/>
      <w:r w:rsidR="00E37E64">
        <w:rPr>
          <w:rFonts w:cstheme="minorHAnsi"/>
        </w:rPr>
        <w:t xml:space="preserve">, odnosno 400 IU/kap što uveliko </w:t>
      </w:r>
      <w:proofErr w:type="spellStart"/>
      <w:r w:rsidR="00E37E64">
        <w:rPr>
          <w:rFonts w:cstheme="minorHAnsi"/>
        </w:rPr>
        <w:t>olakšava</w:t>
      </w:r>
      <w:proofErr w:type="spellEnd"/>
      <w:r w:rsidR="00E37E64">
        <w:rPr>
          <w:rFonts w:cstheme="minorHAnsi"/>
        </w:rPr>
        <w:t xml:space="preserve"> doziranje, te time </w:t>
      </w:r>
      <w:proofErr w:type="spellStart"/>
      <w:r w:rsidR="00E37E64">
        <w:rPr>
          <w:rFonts w:cstheme="minorHAnsi"/>
        </w:rPr>
        <w:t>poboljšava</w:t>
      </w:r>
      <w:proofErr w:type="spellEnd"/>
      <w:r w:rsidR="00E37E64">
        <w:rPr>
          <w:rFonts w:cstheme="minorHAnsi"/>
        </w:rPr>
        <w:t xml:space="preserve"> </w:t>
      </w:r>
      <w:proofErr w:type="spellStart"/>
      <w:r w:rsidR="00E37E64">
        <w:rPr>
          <w:rFonts w:cstheme="minorHAnsi"/>
        </w:rPr>
        <w:t>adherencu</w:t>
      </w:r>
      <w:proofErr w:type="spellEnd"/>
      <w:r w:rsidR="00E37E64">
        <w:rPr>
          <w:rFonts w:cstheme="minorHAnsi"/>
        </w:rPr>
        <w:t>/</w:t>
      </w:r>
      <w:proofErr w:type="spellStart"/>
      <w:r w:rsidR="00E37E64">
        <w:rPr>
          <w:rFonts w:cstheme="minorHAnsi"/>
        </w:rPr>
        <w:t>komplijancu</w:t>
      </w:r>
      <w:proofErr w:type="spellEnd"/>
      <w:r w:rsidR="00E37E64">
        <w:rPr>
          <w:rFonts w:cstheme="minorHAnsi"/>
        </w:rPr>
        <w:t xml:space="preserve">, posebno kod primjena u </w:t>
      </w:r>
      <w:proofErr w:type="spellStart"/>
      <w:r w:rsidR="00E37E64">
        <w:rPr>
          <w:rFonts w:cstheme="minorHAnsi"/>
        </w:rPr>
        <w:t>indikacionim</w:t>
      </w:r>
      <w:proofErr w:type="spellEnd"/>
      <w:r w:rsidR="00E37E64">
        <w:rPr>
          <w:rFonts w:cstheme="minorHAnsi"/>
        </w:rPr>
        <w:t xml:space="preserve"> područjima koja </w:t>
      </w:r>
      <w:proofErr w:type="spellStart"/>
      <w:r w:rsidR="00E37E64">
        <w:rPr>
          <w:rFonts w:cstheme="minorHAnsi"/>
        </w:rPr>
        <w:t>zahtjevaju</w:t>
      </w:r>
      <w:proofErr w:type="spellEnd"/>
      <w:r w:rsidR="00E37E64">
        <w:rPr>
          <w:rFonts w:cstheme="minorHAnsi"/>
        </w:rPr>
        <w:t xml:space="preserve"> primjenu većih doza. </w:t>
      </w:r>
    </w:p>
    <w:p w14:paraId="77D80874" w14:textId="35C9550F" w:rsidR="00DE1B04" w:rsidRDefault="00DE1B04" w:rsidP="00D301AA">
      <w:pPr>
        <w:pStyle w:val="Heading1"/>
        <w:numPr>
          <w:ilvl w:val="0"/>
          <w:numId w:val="0"/>
        </w:numPr>
        <w:ind w:left="432" w:hanging="432"/>
      </w:pPr>
    </w:p>
    <w:p w14:paraId="5BA33798" w14:textId="1F98A80C" w:rsidR="00DE1B04" w:rsidRDefault="00DE1B04" w:rsidP="00DE1B04">
      <w:pPr>
        <w:pStyle w:val="Heading1"/>
        <w:numPr>
          <w:ilvl w:val="0"/>
          <w:numId w:val="0"/>
        </w:numPr>
        <w:ind w:left="432" w:hanging="432"/>
      </w:pPr>
    </w:p>
    <w:p w14:paraId="419C9FD6" w14:textId="7AE7499D" w:rsidR="00DE1B04" w:rsidRDefault="00FD06D7" w:rsidP="00DE1B04">
      <w:pPr>
        <w:pStyle w:val="Heading1"/>
        <w:numPr>
          <w:ilvl w:val="0"/>
          <w:numId w:val="0"/>
        </w:numPr>
        <w:ind w:left="432" w:hanging="432"/>
      </w:pPr>
      <w:r>
        <w:rPr>
          <w:noProof/>
        </w:rPr>
        <w:drawing>
          <wp:inline distT="0" distB="0" distL="0" distR="0" wp14:anchorId="160000B4" wp14:editId="1927A5D3">
            <wp:extent cx="1519603" cy="688975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603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285D39F6" w14:textId="77777777" w:rsidR="003A615C" w:rsidRDefault="003A615C" w:rsidP="003A615C">
      <w:pPr>
        <w:pStyle w:val="Default"/>
      </w:pPr>
    </w:p>
    <w:p w14:paraId="1B855654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Naziv lijeka: </w:t>
      </w:r>
      <w:proofErr w:type="spellStart"/>
      <w:r>
        <w:rPr>
          <w:b/>
          <w:bCs/>
          <w:sz w:val="22"/>
          <w:szCs w:val="22"/>
        </w:rPr>
        <w:t>Oleovit</w:t>
      </w:r>
      <w:proofErr w:type="spellEnd"/>
      <w:r>
        <w:rPr>
          <w:b/>
          <w:bCs/>
          <w:sz w:val="22"/>
          <w:szCs w:val="22"/>
        </w:rPr>
        <w:t xml:space="preserve"> D3 </w:t>
      </w:r>
    </w:p>
    <w:p w14:paraId="654DA4B0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ATC: A11CC05 </w:t>
      </w:r>
    </w:p>
    <w:p w14:paraId="6EB3DB69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INN: </w:t>
      </w:r>
      <w:proofErr w:type="spellStart"/>
      <w:r>
        <w:rPr>
          <w:b/>
          <w:bCs/>
          <w:sz w:val="22"/>
          <w:szCs w:val="22"/>
        </w:rPr>
        <w:t>kolekalciferol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04F5456E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Farmaceutski oblik: </w:t>
      </w:r>
      <w:r>
        <w:rPr>
          <w:b/>
          <w:bCs/>
          <w:sz w:val="22"/>
          <w:szCs w:val="22"/>
        </w:rPr>
        <w:t xml:space="preserve">oralne kapi, otopina </w:t>
      </w:r>
    </w:p>
    <w:p w14:paraId="50755138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Doza po jedinici mjere: </w:t>
      </w:r>
      <w:r>
        <w:rPr>
          <w:b/>
          <w:bCs/>
          <w:sz w:val="22"/>
          <w:szCs w:val="22"/>
        </w:rPr>
        <w:t xml:space="preserve">14.400 IJ/1 </w:t>
      </w:r>
      <w:proofErr w:type="spellStart"/>
      <w:r>
        <w:rPr>
          <w:b/>
          <w:bCs/>
          <w:sz w:val="22"/>
          <w:szCs w:val="22"/>
        </w:rPr>
        <w:t>mL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3FB9BD64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Sastav: </w:t>
      </w:r>
      <w:r>
        <w:rPr>
          <w:b/>
          <w:bCs/>
          <w:sz w:val="22"/>
          <w:szCs w:val="22"/>
        </w:rPr>
        <w:t xml:space="preserve">14.400 IJ (360 </w:t>
      </w:r>
      <w:proofErr w:type="spellStart"/>
      <w:r>
        <w:rPr>
          <w:b/>
          <w:bCs/>
          <w:sz w:val="22"/>
          <w:szCs w:val="22"/>
        </w:rPr>
        <w:t>mcg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kolekalciferola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53A37C52" w14:textId="77777777" w:rsidR="003A615C" w:rsidRDefault="003A615C" w:rsidP="003A615C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Pakovanje: </w:t>
      </w:r>
      <w:r>
        <w:rPr>
          <w:b/>
          <w:bCs/>
          <w:sz w:val="22"/>
          <w:szCs w:val="22"/>
        </w:rPr>
        <w:t xml:space="preserve">12.5 </w:t>
      </w:r>
      <w:proofErr w:type="spellStart"/>
      <w:r>
        <w:rPr>
          <w:b/>
          <w:bCs/>
          <w:sz w:val="22"/>
          <w:szCs w:val="22"/>
        </w:rPr>
        <w:t>mL</w:t>
      </w:r>
      <w:proofErr w:type="spellEnd"/>
      <w:r>
        <w:rPr>
          <w:b/>
          <w:bCs/>
          <w:sz w:val="22"/>
          <w:szCs w:val="22"/>
        </w:rPr>
        <w:t xml:space="preserve"> oralnih kapi, otopina u staklenoj bočici, u kutiji </w:t>
      </w:r>
    </w:p>
    <w:p w14:paraId="56F92590" w14:textId="32BB1004" w:rsidR="00DE1B04" w:rsidRPr="00C37E2E" w:rsidRDefault="003A615C" w:rsidP="00C37E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Režim izdavanja: </w:t>
      </w:r>
      <w:proofErr w:type="spellStart"/>
      <w:r>
        <w:rPr>
          <w:b/>
          <w:bCs/>
          <w:sz w:val="22"/>
          <w:szCs w:val="22"/>
        </w:rPr>
        <w:t>Rp</w:t>
      </w:r>
      <w:proofErr w:type="spellEnd"/>
      <w:r>
        <w:rPr>
          <w:b/>
          <w:bCs/>
          <w:sz w:val="22"/>
          <w:szCs w:val="22"/>
        </w:rPr>
        <w:t xml:space="preserve"> – Lijek se izdaje na ljekarski recept</w:t>
      </w:r>
    </w:p>
    <w:p w14:paraId="5012C24F" w14:textId="4D6228FE" w:rsidR="00DE1B04" w:rsidRDefault="00DE1B04" w:rsidP="00C37E2E">
      <w:pPr>
        <w:pStyle w:val="Heading1"/>
        <w:numPr>
          <w:ilvl w:val="0"/>
          <w:numId w:val="0"/>
        </w:numPr>
      </w:pPr>
    </w:p>
    <w:p w14:paraId="49CB7350" w14:textId="77777777" w:rsidR="00C37E2E" w:rsidRDefault="00C37E2E" w:rsidP="00C37E2E">
      <w:pPr>
        <w:pStyle w:val="Heading1"/>
        <w:numPr>
          <w:ilvl w:val="0"/>
          <w:numId w:val="0"/>
        </w:numPr>
      </w:pPr>
    </w:p>
    <w:p w14:paraId="573CF4D1" w14:textId="5CED8995" w:rsidR="00DE1B04" w:rsidRDefault="00DE1B04" w:rsidP="00DE1B04">
      <w:pPr>
        <w:pStyle w:val="Heading1"/>
      </w:pPr>
      <w:bookmarkStart w:id="0" w:name="_Ref25751685"/>
      <w:proofErr w:type="spellStart"/>
      <w:r>
        <w:lastRenderedPageBreak/>
        <w:t>Popis</w:t>
      </w:r>
      <w:proofErr w:type="spellEnd"/>
      <w:r>
        <w:t xml:space="preserve"> literature</w:t>
      </w:r>
      <w:bookmarkEnd w:id="0"/>
    </w:p>
    <w:p w14:paraId="36DE4D46" w14:textId="5F84BA8E" w:rsidR="00DE1B04" w:rsidRDefault="00DE1B04" w:rsidP="00A719E3">
      <w:pPr>
        <w:spacing w:line="276" w:lineRule="auto"/>
        <w:jc w:val="both"/>
        <w:rPr>
          <w:rFonts w:cstheme="minorHAnsi"/>
        </w:rPr>
      </w:pPr>
    </w:p>
    <w:p w14:paraId="01F5B993" w14:textId="05DBAC44" w:rsidR="00D372AE" w:rsidRDefault="00D372AE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bookmarkStart w:id="1" w:name="_Ref25751928"/>
      <w:proofErr w:type="spellStart"/>
      <w:r w:rsidRPr="00D372AE">
        <w:rPr>
          <w:rFonts w:cstheme="minorHAnsi"/>
        </w:rPr>
        <w:t>Posljednji</w:t>
      </w:r>
      <w:proofErr w:type="spellEnd"/>
      <w:r w:rsidRPr="00D372AE">
        <w:rPr>
          <w:rFonts w:cstheme="minorHAnsi"/>
        </w:rPr>
        <w:t xml:space="preserve"> </w:t>
      </w:r>
      <w:proofErr w:type="spellStart"/>
      <w:r w:rsidRPr="00D372AE">
        <w:rPr>
          <w:rFonts w:cstheme="minorHAnsi"/>
        </w:rPr>
        <w:t>odobreni</w:t>
      </w:r>
      <w:proofErr w:type="spellEnd"/>
      <w:r w:rsidRPr="00D372AE">
        <w:rPr>
          <w:rFonts w:cstheme="minorHAnsi"/>
        </w:rPr>
        <w:t xml:space="preserve"> </w:t>
      </w:r>
      <w:proofErr w:type="spellStart"/>
      <w:r w:rsidRPr="00D372AE">
        <w:rPr>
          <w:rFonts w:cstheme="minorHAnsi"/>
        </w:rPr>
        <w:t>Sažetak</w:t>
      </w:r>
      <w:proofErr w:type="spellEnd"/>
      <w:r w:rsidRPr="00D372AE">
        <w:rPr>
          <w:rFonts w:cstheme="minorHAnsi"/>
        </w:rPr>
        <w:t xml:space="preserve"> </w:t>
      </w:r>
      <w:proofErr w:type="spellStart"/>
      <w:r w:rsidRPr="00D372AE">
        <w:rPr>
          <w:rFonts w:cstheme="minorHAnsi"/>
        </w:rPr>
        <w:t>karakteristika</w:t>
      </w:r>
      <w:proofErr w:type="spellEnd"/>
      <w:r w:rsidRPr="00D372AE">
        <w:rPr>
          <w:rFonts w:cstheme="minorHAnsi"/>
        </w:rPr>
        <w:t xml:space="preserve"> </w:t>
      </w:r>
      <w:proofErr w:type="spellStart"/>
      <w:r w:rsidRPr="00D372AE">
        <w:rPr>
          <w:rFonts w:cstheme="minorHAnsi"/>
        </w:rPr>
        <w:t>lijeka</w:t>
      </w:r>
      <w:proofErr w:type="spellEnd"/>
      <w:r w:rsidRPr="00D372AE">
        <w:rPr>
          <w:rFonts w:cstheme="minorHAnsi"/>
        </w:rPr>
        <w:t xml:space="preserve"> </w:t>
      </w:r>
      <w:proofErr w:type="spellStart"/>
      <w:r w:rsidRPr="00D372AE">
        <w:rPr>
          <w:rFonts w:cstheme="minorHAnsi"/>
        </w:rPr>
        <w:t>Oleovit</w:t>
      </w:r>
      <w:proofErr w:type="spellEnd"/>
      <w:r w:rsidRPr="00D372AE">
        <w:rPr>
          <w:rFonts w:cstheme="minorHAnsi"/>
        </w:rPr>
        <w:t xml:space="preserve"> D3</w:t>
      </w:r>
      <w:bookmarkStart w:id="2" w:name="_GoBack"/>
      <w:bookmarkEnd w:id="1"/>
      <w:bookmarkEnd w:id="2"/>
    </w:p>
    <w:p w14:paraId="4694B28D" w14:textId="21D4E7A0" w:rsidR="0004483B" w:rsidRDefault="0004483B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4483B">
        <w:rPr>
          <w:rFonts w:cstheme="minorHAnsi"/>
        </w:rPr>
        <w:t xml:space="preserve">Grossman, </w:t>
      </w:r>
      <w:proofErr w:type="spellStart"/>
      <w:r w:rsidRPr="0004483B">
        <w:rPr>
          <w:rFonts w:cstheme="minorHAnsi"/>
        </w:rPr>
        <w:t>Zachi</w:t>
      </w:r>
      <w:proofErr w:type="spellEnd"/>
      <w:r w:rsidRPr="0004483B">
        <w:rPr>
          <w:rFonts w:cstheme="minorHAnsi"/>
        </w:rPr>
        <w:t xml:space="preserve">, et al. "Vitamin D in European children—statement from the European Academy of </w:t>
      </w:r>
      <w:proofErr w:type="spellStart"/>
      <w:r w:rsidRPr="0004483B">
        <w:rPr>
          <w:rFonts w:cstheme="minorHAnsi"/>
        </w:rPr>
        <w:t>Paediatrics</w:t>
      </w:r>
      <w:proofErr w:type="spellEnd"/>
      <w:r w:rsidRPr="0004483B">
        <w:rPr>
          <w:rFonts w:cstheme="minorHAnsi"/>
        </w:rPr>
        <w:t xml:space="preserve"> (EAP)." European journal of pediatrics 176.6 (2017): 829-831.</w:t>
      </w:r>
    </w:p>
    <w:p w14:paraId="7FC6A868" w14:textId="64A08F8F" w:rsidR="00FF5DCB" w:rsidRDefault="00FF5DCB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FF5DCB">
        <w:rPr>
          <w:rFonts w:cstheme="minorHAnsi"/>
        </w:rPr>
        <w:t>Braegger</w:t>
      </w:r>
      <w:proofErr w:type="spellEnd"/>
      <w:r w:rsidRPr="00FF5DCB">
        <w:rPr>
          <w:rFonts w:cstheme="minorHAnsi"/>
        </w:rPr>
        <w:t xml:space="preserve">, Christian, et al. "Vitamin D in the healthy European </w:t>
      </w:r>
      <w:proofErr w:type="spellStart"/>
      <w:r w:rsidRPr="00FF5DCB">
        <w:rPr>
          <w:rFonts w:cstheme="minorHAnsi"/>
        </w:rPr>
        <w:t>paediatric</w:t>
      </w:r>
      <w:proofErr w:type="spellEnd"/>
      <w:r w:rsidRPr="00FF5DCB">
        <w:rPr>
          <w:rFonts w:cstheme="minorHAnsi"/>
        </w:rPr>
        <w:t xml:space="preserve"> population." Journal of pediatric gastroenterology and nutrition 56.6 (2013): 692-701.</w:t>
      </w:r>
    </w:p>
    <w:p w14:paraId="7EB060A0" w14:textId="691FB991" w:rsidR="009E1E8F" w:rsidRDefault="009E1E8F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E1E8F">
        <w:rPr>
          <w:rFonts w:cstheme="minorHAnsi"/>
        </w:rPr>
        <w:t xml:space="preserve">Cashman, Kevin D., et al. "Vitamin D deficiency in Europe: </w:t>
      </w:r>
      <w:proofErr w:type="gramStart"/>
      <w:r w:rsidRPr="009E1E8F">
        <w:rPr>
          <w:rFonts w:cstheme="minorHAnsi"/>
        </w:rPr>
        <w:t>pandemic?.</w:t>
      </w:r>
      <w:proofErr w:type="gramEnd"/>
      <w:r w:rsidRPr="009E1E8F">
        <w:rPr>
          <w:rFonts w:cstheme="minorHAnsi"/>
        </w:rPr>
        <w:t>" The American journal of clinical nutrition 103.4 (2016): 1033-1044.</w:t>
      </w:r>
    </w:p>
    <w:p w14:paraId="011EE937" w14:textId="4927541A" w:rsidR="007F1B8D" w:rsidRDefault="007F1B8D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7F1B8D">
        <w:rPr>
          <w:rFonts w:cstheme="minorHAnsi"/>
        </w:rPr>
        <w:t>Holick</w:t>
      </w:r>
      <w:proofErr w:type="spellEnd"/>
      <w:r w:rsidRPr="007F1B8D">
        <w:rPr>
          <w:rFonts w:cstheme="minorHAnsi"/>
        </w:rPr>
        <w:t xml:space="preserve">, Michael F., et al. "Evaluation, treatment, and prevention of vitamin D deficiency: </w:t>
      </w:r>
      <w:proofErr w:type="gramStart"/>
      <w:r w:rsidRPr="007F1B8D">
        <w:rPr>
          <w:rFonts w:cstheme="minorHAnsi"/>
        </w:rPr>
        <w:t>an</w:t>
      </w:r>
      <w:proofErr w:type="gramEnd"/>
      <w:r w:rsidRPr="007F1B8D">
        <w:rPr>
          <w:rFonts w:cstheme="minorHAnsi"/>
        </w:rPr>
        <w:t xml:space="preserve"> Endocrine Society clinical practice guideline." The Journal of Clinical Endocrinology &amp; Metabolism 96.7 (2011): 1911-1930.</w:t>
      </w:r>
    </w:p>
    <w:p w14:paraId="04D23341" w14:textId="3CC87478" w:rsidR="007F1B8D" w:rsidRDefault="007F1B8D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7F1B8D">
        <w:rPr>
          <w:rFonts w:cstheme="minorHAnsi"/>
        </w:rPr>
        <w:t>Saggese</w:t>
      </w:r>
      <w:proofErr w:type="spellEnd"/>
      <w:r w:rsidRPr="007F1B8D">
        <w:rPr>
          <w:rFonts w:cstheme="minorHAnsi"/>
        </w:rPr>
        <w:t>, Giuseppe, et al. "Vitamin D in childhood and adolescence: an expert position statement." European journal of pediatrics 174.5 (2015): 565-576.</w:t>
      </w:r>
    </w:p>
    <w:p w14:paraId="2586129C" w14:textId="6251A500" w:rsidR="008F2481" w:rsidRDefault="008F2481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F2481">
        <w:rPr>
          <w:rFonts w:cstheme="minorHAnsi"/>
        </w:rPr>
        <w:t>Bouillon, Roger. "Comparative analysis of nutritional guidelines for vitamin D." Nature Reviews Endocrinology 13.8 (2017): 466.</w:t>
      </w:r>
    </w:p>
    <w:p w14:paraId="70434EDD" w14:textId="77777777" w:rsidR="00D430BE" w:rsidRDefault="00D430BE" w:rsidP="00D430B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D372AE">
        <w:rPr>
          <w:rFonts w:cstheme="minorHAnsi"/>
        </w:rPr>
        <w:t>Cediel</w:t>
      </w:r>
      <w:proofErr w:type="spellEnd"/>
      <w:r w:rsidRPr="00D372AE">
        <w:rPr>
          <w:rFonts w:cstheme="minorHAnsi"/>
        </w:rPr>
        <w:t>, Gustavo, Johanna Pacheco Acosta, and Carlos Castillo Durán. "Vitamin D deficiency in pediatric clinical practice." (2018).</w:t>
      </w:r>
    </w:p>
    <w:p w14:paraId="7133EE21" w14:textId="4B6EBD22" w:rsidR="00D430BE" w:rsidRDefault="004A789E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4A789E">
        <w:rPr>
          <w:rFonts w:cstheme="minorHAnsi"/>
        </w:rPr>
        <w:t>Monangi</w:t>
      </w:r>
      <w:proofErr w:type="spellEnd"/>
      <w:r w:rsidRPr="004A789E">
        <w:rPr>
          <w:rFonts w:cstheme="minorHAnsi"/>
        </w:rPr>
        <w:t>, Nagendra, et al. "Vitamin D status of early preterm infants and the effects of vitamin D intake during hospital stay." Archives of Disease in Childhood-Fetal and Neonatal Edition 99.2 (2014): F166-F168.</w:t>
      </w:r>
    </w:p>
    <w:p w14:paraId="725AB14B" w14:textId="232B5F33" w:rsidR="000F6300" w:rsidRDefault="000F6300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F6300">
        <w:rPr>
          <w:rFonts w:cstheme="minorHAnsi"/>
        </w:rPr>
        <w:t>Fort, Prem, et al. "A comparison of 3 vitamin D dosing regimens in extremely preterm infants: a randomized controlled trial." The Journal of pediatrics 174 (2016): 132-138.</w:t>
      </w:r>
    </w:p>
    <w:p w14:paraId="51EFFE38" w14:textId="3D691943" w:rsidR="00AA126B" w:rsidRDefault="00AA126B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AA126B">
        <w:rPr>
          <w:rFonts w:cstheme="minorHAnsi"/>
        </w:rPr>
        <w:t>Cediel</w:t>
      </w:r>
      <w:proofErr w:type="spellEnd"/>
      <w:r w:rsidRPr="00AA126B">
        <w:rPr>
          <w:rFonts w:cstheme="minorHAnsi"/>
        </w:rPr>
        <w:t xml:space="preserve">, Gustavo, et al. "Serum 25-Hydroxyvitamin D associated with indicators of body fat and insulin resistance in prepubertal </w:t>
      </w:r>
      <w:r w:rsidR="008A5683" w:rsidRPr="00AA126B">
        <w:rPr>
          <w:rFonts w:cstheme="minorHAnsi"/>
        </w:rPr>
        <w:t>Chilean</w:t>
      </w:r>
      <w:r w:rsidRPr="00AA126B">
        <w:rPr>
          <w:rFonts w:cstheme="minorHAnsi"/>
        </w:rPr>
        <w:t xml:space="preserve"> children." International journal of obesity 40.1 (2016): 147.</w:t>
      </w:r>
    </w:p>
    <w:p w14:paraId="3C21089F" w14:textId="597F067D" w:rsidR="00386290" w:rsidRDefault="00386290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386290">
        <w:rPr>
          <w:rFonts w:cstheme="minorHAnsi"/>
        </w:rPr>
        <w:t>Cediel</w:t>
      </w:r>
      <w:proofErr w:type="spellEnd"/>
      <w:r w:rsidRPr="00386290">
        <w:rPr>
          <w:rFonts w:cstheme="minorHAnsi"/>
        </w:rPr>
        <w:t>, Gustavo, et al. "Prepubertal adiposity, vitamin D status, and insulin resistance." Pediatrics 138.1 (2016): e20160076.</w:t>
      </w:r>
    </w:p>
    <w:p w14:paraId="7928C798" w14:textId="12ACEA53" w:rsidR="00386290" w:rsidRDefault="00386290" w:rsidP="00D372AE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386290">
        <w:rPr>
          <w:rFonts w:cstheme="minorHAnsi"/>
        </w:rPr>
        <w:t>Wortsman</w:t>
      </w:r>
      <w:proofErr w:type="spellEnd"/>
      <w:r w:rsidRPr="00386290">
        <w:rPr>
          <w:rFonts w:cstheme="minorHAnsi"/>
        </w:rPr>
        <w:t xml:space="preserve">, </w:t>
      </w:r>
      <w:proofErr w:type="spellStart"/>
      <w:r w:rsidRPr="00386290">
        <w:rPr>
          <w:rFonts w:cstheme="minorHAnsi"/>
        </w:rPr>
        <w:t>Jacobo</w:t>
      </w:r>
      <w:proofErr w:type="spellEnd"/>
      <w:r w:rsidRPr="00386290">
        <w:rPr>
          <w:rFonts w:cstheme="minorHAnsi"/>
        </w:rPr>
        <w:t>, et al. "Decreased bioavailability of vitamin D in obesity." The American journal of clinical nutrition 72.3 (2000): 690-693.</w:t>
      </w:r>
    </w:p>
    <w:p w14:paraId="46BA9EAA" w14:textId="1996B518" w:rsidR="00D372AE" w:rsidRDefault="00156DD7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56DD7">
        <w:rPr>
          <w:rFonts w:cstheme="minorHAnsi"/>
        </w:rPr>
        <w:t>Brinkmann, Karin, et al. "</w:t>
      </w:r>
      <w:proofErr w:type="spellStart"/>
      <w:r w:rsidRPr="00156DD7">
        <w:rPr>
          <w:rFonts w:cstheme="minorHAnsi"/>
        </w:rPr>
        <w:t>Deficiencia</w:t>
      </w:r>
      <w:proofErr w:type="spellEnd"/>
      <w:r w:rsidRPr="00156DD7">
        <w:rPr>
          <w:rFonts w:cstheme="minorHAnsi"/>
        </w:rPr>
        <w:t xml:space="preserve"> </w:t>
      </w:r>
      <w:proofErr w:type="spellStart"/>
      <w:r w:rsidRPr="00156DD7">
        <w:rPr>
          <w:rFonts w:cstheme="minorHAnsi"/>
        </w:rPr>
        <w:t>severa</w:t>
      </w:r>
      <w:proofErr w:type="spellEnd"/>
      <w:r w:rsidRPr="00156DD7">
        <w:rPr>
          <w:rFonts w:cstheme="minorHAnsi"/>
        </w:rPr>
        <w:t xml:space="preserve"> de </w:t>
      </w:r>
      <w:proofErr w:type="spellStart"/>
      <w:r w:rsidRPr="00156DD7">
        <w:rPr>
          <w:rFonts w:cstheme="minorHAnsi"/>
        </w:rPr>
        <w:t>vitamina</w:t>
      </w:r>
      <w:proofErr w:type="spellEnd"/>
      <w:r w:rsidRPr="00156DD7">
        <w:rPr>
          <w:rFonts w:cstheme="minorHAnsi"/>
        </w:rPr>
        <w:t xml:space="preserve"> D </w:t>
      </w:r>
      <w:proofErr w:type="spellStart"/>
      <w:r w:rsidRPr="00156DD7">
        <w:rPr>
          <w:rFonts w:cstheme="minorHAnsi"/>
        </w:rPr>
        <w:t>en</w:t>
      </w:r>
      <w:proofErr w:type="spellEnd"/>
      <w:r w:rsidRPr="00156DD7">
        <w:rPr>
          <w:rFonts w:cstheme="minorHAnsi"/>
        </w:rPr>
        <w:t xml:space="preserve"> </w:t>
      </w:r>
      <w:proofErr w:type="spellStart"/>
      <w:r w:rsidRPr="00156DD7">
        <w:rPr>
          <w:rFonts w:cstheme="minorHAnsi"/>
        </w:rPr>
        <w:t>niños</w:t>
      </w:r>
      <w:proofErr w:type="spellEnd"/>
      <w:r w:rsidRPr="00156DD7">
        <w:rPr>
          <w:rFonts w:cstheme="minorHAnsi"/>
        </w:rPr>
        <w:t xml:space="preserve"> de Punta Arenas, Chile: </w:t>
      </w:r>
      <w:proofErr w:type="spellStart"/>
      <w:r w:rsidRPr="00156DD7">
        <w:rPr>
          <w:rFonts w:cstheme="minorHAnsi"/>
        </w:rPr>
        <w:t>influencia</w:t>
      </w:r>
      <w:proofErr w:type="spellEnd"/>
      <w:r w:rsidRPr="00156DD7">
        <w:rPr>
          <w:rFonts w:cstheme="minorHAnsi"/>
        </w:rPr>
        <w:t xml:space="preserve"> de </w:t>
      </w:r>
      <w:proofErr w:type="spellStart"/>
      <w:r w:rsidRPr="00156DD7">
        <w:rPr>
          <w:rFonts w:cstheme="minorHAnsi"/>
        </w:rPr>
        <w:t>estado</w:t>
      </w:r>
      <w:proofErr w:type="spellEnd"/>
      <w:r w:rsidRPr="00156DD7">
        <w:rPr>
          <w:rFonts w:cstheme="minorHAnsi"/>
        </w:rPr>
        <w:t xml:space="preserve"> </w:t>
      </w:r>
      <w:proofErr w:type="spellStart"/>
      <w:r w:rsidRPr="00156DD7">
        <w:rPr>
          <w:rFonts w:cstheme="minorHAnsi"/>
        </w:rPr>
        <w:t>nutricional</w:t>
      </w:r>
      <w:proofErr w:type="spellEnd"/>
      <w:r w:rsidRPr="00156DD7">
        <w:rPr>
          <w:rFonts w:cstheme="minorHAnsi"/>
        </w:rPr>
        <w:t xml:space="preserve"> </w:t>
      </w:r>
      <w:proofErr w:type="spellStart"/>
      <w:r w:rsidRPr="00156DD7">
        <w:rPr>
          <w:rFonts w:cstheme="minorHAnsi"/>
        </w:rPr>
        <w:t>en</w:t>
      </w:r>
      <w:proofErr w:type="spellEnd"/>
      <w:r w:rsidRPr="00156DD7">
        <w:rPr>
          <w:rFonts w:cstheme="minorHAnsi"/>
        </w:rPr>
        <w:t xml:space="preserve"> la </w:t>
      </w:r>
      <w:proofErr w:type="spellStart"/>
      <w:r w:rsidRPr="00156DD7">
        <w:rPr>
          <w:rFonts w:cstheme="minorHAnsi"/>
        </w:rPr>
        <w:t>respuesta</w:t>
      </w:r>
      <w:proofErr w:type="spellEnd"/>
      <w:r w:rsidRPr="00156DD7">
        <w:rPr>
          <w:rFonts w:cstheme="minorHAnsi"/>
        </w:rPr>
        <w:t xml:space="preserve"> a </w:t>
      </w:r>
      <w:proofErr w:type="spellStart"/>
      <w:r w:rsidRPr="00156DD7">
        <w:rPr>
          <w:rFonts w:cstheme="minorHAnsi"/>
        </w:rPr>
        <w:t>suplementación</w:t>
      </w:r>
      <w:proofErr w:type="spellEnd"/>
      <w:r w:rsidRPr="00156DD7">
        <w:rPr>
          <w:rFonts w:cstheme="minorHAnsi"/>
        </w:rPr>
        <w:t xml:space="preserve">." </w:t>
      </w:r>
      <w:proofErr w:type="spellStart"/>
      <w:r w:rsidRPr="00156DD7">
        <w:rPr>
          <w:rFonts w:cstheme="minorHAnsi"/>
        </w:rPr>
        <w:t>Revista</w:t>
      </w:r>
      <w:proofErr w:type="spellEnd"/>
      <w:r w:rsidRPr="00156DD7">
        <w:rPr>
          <w:rFonts w:cstheme="minorHAnsi"/>
        </w:rPr>
        <w:t xml:space="preserve"> </w:t>
      </w:r>
      <w:proofErr w:type="spellStart"/>
      <w:r w:rsidRPr="00156DD7">
        <w:rPr>
          <w:rFonts w:cstheme="minorHAnsi"/>
        </w:rPr>
        <w:t>chilena</w:t>
      </w:r>
      <w:proofErr w:type="spellEnd"/>
      <w:r w:rsidRPr="00156DD7">
        <w:rPr>
          <w:rFonts w:cstheme="minorHAnsi"/>
        </w:rPr>
        <w:t xml:space="preserve"> de </w:t>
      </w:r>
      <w:proofErr w:type="spellStart"/>
      <w:r w:rsidRPr="00156DD7">
        <w:rPr>
          <w:rFonts w:cstheme="minorHAnsi"/>
        </w:rPr>
        <w:t>pediatría</w:t>
      </w:r>
      <w:proofErr w:type="spellEnd"/>
      <w:r w:rsidRPr="00156DD7">
        <w:rPr>
          <w:rFonts w:cstheme="minorHAnsi"/>
        </w:rPr>
        <w:t xml:space="preserve"> 86.3 (2015): 182-188.</w:t>
      </w:r>
    </w:p>
    <w:p w14:paraId="45AE15A9" w14:textId="4EA7ABA5" w:rsidR="00EA6E08" w:rsidRDefault="00EA6E08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EA6E08">
        <w:rPr>
          <w:rFonts w:cstheme="minorHAnsi"/>
        </w:rPr>
        <w:t>Płudowski</w:t>
      </w:r>
      <w:proofErr w:type="spellEnd"/>
      <w:r w:rsidRPr="00EA6E08">
        <w:rPr>
          <w:rFonts w:cstheme="minorHAnsi"/>
        </w:rPr>
        <w:t xml:space="preserve">, </w:t>
      </w:r>
      <w:proofErr w:type="spellStart"/>
      <w:r w:rsidRPr="00EA6E08">
        <w:rPr>
          <w:rFonts w:cstheme="minorHAnsi"/>
        </w:rPr>
        <w:t>Paweł</w:t>
      </w:r>
      <w:proofErr w:type="spellEnd"/>
      <w:r w:rsidRPr="00EA6E08">
        <w:rPr>
          <w:rFonts w:cstheme="minorHAnsi"/>
        </w:rPr>
        <w:t xml:space="preserve">, et al. "Practical guidelines for the supplementation of vitamin D and the treatment of deficits in Central Europe—recommended vitamin D intakes in the general population and groups at risk of vitamin D deficiency." </w:t>
      </w:r>
      <w:proofErr w:type="spellStart"/>
      <w:r w:rsidRPr="00EA6E08">
        <w:rPr>
          <w:rFonts w:cstheme="minorHAnsi"/>
        </w:rPr>
        <w:t>Endokrynologia</w:t>
      </w:r>
      <w:proofErr w:type="spellEnd"/>
      <w:r w:rsidRPr="00EA6E08">
        <w:rPr>
          <w:rFonts w:cstheme="minorHAnsi"/>
        </w:rPr>
        <w:t xml:space="preserve"> </w:t>
      </w:r>
      <w:proofErr w:type="spellStart"/>
      <w:r w:rsidRPr="00EA6E08">
        <w:rPr>
          <w:rFonts w:cstheme="minorHAnsi"/>
        </w:rPr>
        <w:t>Polska</w:t>
      </w:r>
      <w:proofErr w:type="spellEnd"/>
      <w:r w:rsidRPr="00EA6E08">
        <w:rPr>
          <w:rFonts w:cstheme="minorHAnsi"/>
        </w:rPr>
        <w:t xml:space="preserve"> 64.4 (2013): 319-327.</w:t>
      </w:r>
    </w:p>
    <w:p w14:paraId="1170ACCA" w14:textId="55E49BE5" w:rsidR="009B69D3" w:rsidRDefault="009B69D3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B69D3">
        <w:rPr>
          <w:rFonts w:cstheme="minorHAnsi"/>
        </w:rPr>
        <w:t xml:space="preserve">Ding, Cherlyn, John PH Wilding, and Chen Bing. "1, 25-dihydroxyvitamin D3 protects against macrophage-induced activation of </w:t>
      </w:r>
      <w:proofErr w:type="spellStart"/>
      <w:r w:rsidRPr="009B69D3">
        <w:rPr>
          <w:rFonts w:cstheme="minorHAnsi"/>
        </w:rPr>
        <w:t>NFκB</w:t>
      </w:r>
      <w:proofErr w:type="spellEnd"/>
      <w:r w:rsidRPr="009B69D3">
        <w:rPr>
          <w:rFonts w:cstheme="minorHAnsi"/>
        </w:rPr>
        <w:t xml:space="preserve"> and MAPK </w:t>
      </w:r>
      <w:proofErr w:type="spellStart"/>
      <w:r w:rsidRPr="009B69D3">
        <w:rPr>
          <w:rFonts w:cstheme="minorHAnsi"/>
        </w:rPr>
        <w:t>signalling</w:t>
      </w:r>
      <w:proofErr w:type="spellEnd"/>
      <w:r w:rsidRPr="009B69D3">
        <w:rPr>
          <w:rFonts w:cstheme="minorHAnsi"/>
        </w:rPr>
        <w:t xml:space="preserve"> and chemokine release in human adipocytes." </w:t>
      </w:r>
      <w:proofErr w:type="spellStart"/>
      <w:r w:rsidRPr="009B69D3">
        <w:rPr>
          <w:rFonts w:cstheme="minorHAnsi"/>
        </w:rPr>
        <w:t>PloS</w:t>
      </w:r>
      <w:proofErr w:type="spellEnd"/>
      <w:r w:rsidRPr="009B69D3">
        <w:rPr>
          <w:rFonts w:cstheme="minorHAnsi"/>
        </w:rPr>
        <w:t xml:space="preserve"> one 8.4 (2013): e61707.</w:t>
      </w:r>
    </w:p>
    <w:p w14:paraId="3E3D8B57" w14:textId="48ACA66A" w:rsidR="0075492B" w:rsidRDefault="0075492B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5492B">
        <w:rPr>
          <w:rFonts w:cstheme="minorHAnsi"/>
        </w:rPr>
        <w:t>Maestro, B., et al. "Transcriptional activation of the human insulin receptor gene by 1, 25‐dihydroxyvitamin D3." Cell Biochemistry and Function: Cellular biochemistry and its modulation by active agents or disease 20.3 (2002): 227-232.</w:t>
      </w:r>
    </w:p>
    <w:p w14:paraId="22791896" w14:textId="349C6E17" w:rsidR="00A479D5" w:rsidRDefault="00A479D5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A479D5">
        <w:rPr>
          <w:rFonts w:cstheme="minorHAnsi"/>
        </w:rPr>
        <w:t>Belenchia</w:t>
      </w:r>
      <w:proofErr w:type="spellEnd"/>
      <w:r w:rsidRPr="00A479D5">
        <w:rPr>
          <w:rFonts w:cstheme="minorHAnsi"/>
        </w:rPr>
        <w:t>, Anthony M., et al. "Correcting vitamin D insufficiency improves insulin sensitivity in obese adolescents: a randomized controlled trial." The American journal of clinical nutrition 97.4 (2013): 774-781.</w:t>
      </w:r>
    </w:p>
    <w:p w14:paraId="7038463D" w14:textId="35E36369" w:rsidR="00536701" w:rsidRDefault="0053670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536701">
        <w:rPr>
          <w:rFonts w:cstheme="minorHAnsi"/>
        </w:rPr>
        <w:t xml:space="preserve">EURODIAB </w:t>
      </w:r>
      <w:proofErr w:type="spellStart"/>
      <w:r w:rsidRPr="00536701">
        <w:rPr>
          <w:rFonts w:cstheme="minorHAnsi"/>
        </w:rPr>
        <w:t>Substudy</w:t>
      </w:r>
      <w:proofErr w:type="spellEnd"/>
      <w:r w:rsidRPr="00536701">
        <w:rPr>
          <w:rFonts w:cstheme="minorHAnsi"/>
        </w:rPr>
        <w:t xml:space="preserve"> 2 Study Group. "Vitamin D supplement in early childhood and risk for Type I (insulin-dependent) diabetes mellitus." </w:t>
      </w:r>
      <w:proofErr w:type="spellStart"/>
      <w:r w:rsidRPr="00536701">
        <w:rPr>
          <w:rFonts w:cstheme="minorHAnsi"/>
        </w:rPr>
        <w:t>Diabetologia</w:t>
      </w:r>
      <w:proofErr w:type="spellEnd"/>
      <w:r w:rsidRPr="00536701">
        <w:rPr>
          <w:rFonts w:cstheme="minorHAnsi"/>
        </w:rPr>
        <w:t xml:space="preserve"> 42.1 (1999): 51-54.</w:t>
      </w:r>
    </w:p>
    <w:p w14:paraId="6F6985E6" w14:textId="0D365DEF" w:rsidR="00536701" w:rsidRDefault="0053670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536701">
        <w:rPr>
          <w:rFonts w:cstheme="minorHAnsi"/>
        </w:rPr>
        <w:lastRenderedPageBreak/>
        <w:t>Hyppönen</w:t>
      </w:r>
      <w:proofErr w:type="spellEnd"/>
      <w:r w:rsidRPr="00536701">
        <w:rPr>
          <w:rFonts w:cstheme="minorHAnsi"/>
        </w:rPr>
        <w:t>, Elina, et al. "Intake of vitamin D and risk of type 1 diabetes: a birth-cohort study." The Lancet 358.9292 (2001): 1500-1503.</w:t>
      </w:r>
    </w:p>
    <w:p w14:paraId="79BE57F0" w14:textId="1B14A061" w:rsidR="00536701" w:rsidRDefault="0053670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536701">
        <w:rPr>
          <w:rFonts w:cstheme="minorHAnsi"/>
        </w:rPr>
        <w:t xml:space="preserve">Mathieu, Chantal, and Klaus </w:t>
      </w:r>
      <w:proofErr w:type="spellStart"/>
      <w:r w:rsidRPr="00536701">
        <w:rPr>
          <w:rFonts w:cstheme="minorHAnsi"/>
        </w:rPr>
        <w:t>Badenhoop</w:t>
      </w:r>
      <w:proofErr w:type="spellEnd"/>
      <w:r w:rsidRPr="00536701">
        <w:rPr>
          <w:rFonts w:cstheme="minorHAnsi"/>
        </w:rPr>
        <w:t>. "Vitamin D and type 1 diabetes mellitus: state of the art." Trends in Endocrinology &amp; Metabolism 16.6 (2005): 261-266.</w:t>
      </w:r>
    </w:p>
    <w:p w14:paraId="01597A77" w14:textId="11318C6A" w:rsidR="00536701" w:rsidRDefault="0053670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536701">
        <w:rPr>
          <w:rFonts w:cstheme="minorHAnsi"/>
        </w:rPr>
        <w:t xml:space="preserve">Mohr, S. B., et al. "The association between ultraviolet B irradiance, vitamin D status and incidence rates of type 1 diabetes in 51 regions worldwide." </w:t>
      </w:r>
      <w:proofErr w:type="spellStart"/>
      <w:r w:rsidRPr="00536701">
        <w:rPr>
          <w:rFonts w:cstheme="minorHAnsi"/>
        </w:rPr>
        <w:t>Diabetologia</w:t>
      </w:r>
      <w:proofErr w:type="spellEnd"/>
      <w:r w:rsidRPr="00536701">
        <w:rPr>
          <w:rFonts w:cstheme="minorHAnsi"/>
        </w:rPr>
        <w:t xml:space="preserve"> 51.8 (2008): 1391-1398.</w:t>
      </w:r>
    </w:p>
    <w:p w14:paraId="34E481F2" w14:textId="673C73AA" w:rsidR="008B4259" w:rsidRDefault="008B4259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B4259">
        <w:rPr>
          <w:rFonts w:cstheme="minorHAnsi"/>
        </w:rPr>
        <w:t xml:space="preserve">Liu, </w:t>
      </w:r>
      <w:proofErr w:type="spellStart"/>
      <w:r w:rsidRPr="008B4259">
        <w:rPr>
          <w:rFonts w:cstheme="minorHAnsi"/>
        </w:rPr>
        <w:t>Changwei</w:t>
      </w:r>
      <w:proofErr w:type="spellEnd"/>
      <w:r w:rsidRPr="008B4259">
        <w:rPr>
          <w:rFonts w:cstheme="minorHAnsi"/>
        </w:rPr>
        <w:t xml:space="preserve">, et al. "Correlation of serum vitamin D level with type 1 diabetes mellitus in children: a meta-analysis." </w:t>
      </w:r>
      <w:proofErr w:type="spellStart"/>
      <w:r w:rsidRPr="008B4259">
        <w:rPr>
          <w:rFonts w:cstheme="minorHAnsi"/>
        </w:rPr>
        <w:t>Nutricion</w:t>
      </w:r>
      <w:proofErr w:type="spellEnd"/>
      <w:r w:rsidRPr="008B4259">
        <w:rPr>
          <w:rFonts w:cstheme="minorHAnsi"/>
        </w:rPr>
        <w:t xml:space="preserve"> </w:t>
      </w:r>
      <w:proofErr w:type="spellStart"/>
      <w:r w:rsidRPr="008B4259">
        <w:rPr>
          <w:rFonts w:cstheme="minorHAnsi"/>
        </w:rPr>
        <w:t>hospitalaria</w:t>
      </w:r>
      <w:proofErr w:type="spellEnd"/>
      <w:r w:rsidRPr="008B4259">
        <w:rPr>
          <w:rFonts w:cstheme="minorHAnsi"/>
        </w:rPr>
        <w:t xml:space="preserve"> 32.4 (2015): 1591-1594.</w:t>
      </w:r>
    </w:p>
    <w:p w14:paraId="152E1F05" w14:textId="6FE641AC" w:rsidR="00993052" w:rsidRDefault="00993052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993052">
        <w:rPr>
          <w:rFonts w:cstheme="minorHAnsi"/>
        </w:rPr>
        <w:t>Ginanjar</w:t>
      </w:r>
      <w:proofErr w:type="spellEnd"/>
      <w:r w:rsidRPr="00993052">
        <w:rPr>
          <w:rFonts w:cstheme="minorHAnsi"/>
        </w:rPr>
        <w:t xml:space="preserve">, </w:t>
      </w:r>
      <w:proofErr w:type="spellStart"/>
      <w:r w:rsidRPr="00993052">
        <w:rPr>
          <w:rFonts w:cstheme="minorHAnsi"/>
        </w:rPr>
        <w:t>Eka</w:t>
      </w:r>
      <w:proofErr w:type="spellEnd"/>
      <w:r w:rsidRPr="00993052">
        <w:rPr>
          <w:rFonts w:cstheme="minorHAnsi"/>
        </w:rPr>
        <w:t xml:space="preserve">, Siti </w:t>
      </w:r>
      <w:proofErr w:type="spellStart"/>
      <w:r w:rsidRPr="00993052">
        <w:rPr>
          <w:rFonts w:cstheme="minorHAnsi"/>
        </w:rPr>
        <w:t>Setiati</w:t>
      </w:r>
      <w:proofErr w:type="spellEnd"/>
      <w:r w:rsidRPr="00993052">
        <w:rPr>
          <w:rFonts w:cstheme="minorHAnsi"/>
        </w:rPr>
        <w:t xml:space="preserve">, and Bambang </w:t>
      </w:r>
      <w:proofErr w:type="spellStart"/>
      <w:r w:rsidRPr="00993052">
        <w:rPr>
          <w:rFonts w:cstheme="minorHAnsi"/>
        </w:rPr>
        <w:t>Setiyohadi</w:t>
      </w:r>
      <w:proofErr w:type="spellEnd"/>
      <w:r w:rsidRPr="00993052">
        <w:rPr>
          <w:rFonts w:cstheme="minorHAnsi"/>
        </w:rPr>
        <w:t xml:space="preserve">. "Vitamin D and autoimmune disease." Acta </w:t>
      </w:r>
      <w:proofErr w:type="spellStart"/>
      <w:r w:rsidRPr="00993052">
        <w:rPr>
          <w:rFonts w:cstheme="minorHAnsi"/>
        </w:rPr>
        <w:t>Medica</w:t>
      </w:r>
      <w:proofErr w:type="spellEnd"/>
      <w:r w:rsidRPr="00993052">
        <w:rPr>
          <w:rFonts w:cstheme="minorHAnsi"/>
        </w:rPr>
        <w:t xml:space="preserve"> </w:t>
      </w:r>
      <w:proofErr w:type="spellStart"/>
      <w:r w:rsidRPr="00993052">
        <w:rPr>
          <w:rFonts w:cstheme="minorHAnsi"/>
        </w:rPr>
        <w:t>Indonesiana</w:t>
      </w:r>
      <w:proofErr w:type="spellEnd"/>
      <w:r w:rsidRPr="00993052">
        <w:rPr>
          <w:rFonts w:cstheme="minorHAnsi"/>
        </w:rPr>
        <w:t xml:space="preserve"> 39.3 (2007): 133-141.</w:t>
      </w:r>
    </w:p>
    <w:p w14:paraId="6F7262B6" w14:textId="231375B6" w:rsidR="001E2E9C" w:rsidRDefault="001E2E9C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E2E9C">
        <w:rPr>
          <w:rFonts w:cstheme="minorHAnsi"/>
        </w:rPr>
        <w:t>Reis, Jared P., et al. "Vitamin D status and cardiometabolic risk factors in the United States adolescent population." Pediatrics 124.3 (2009): e371-e379.</w:t>
      </w:r>
    </w:p>
    <w:p w14:paraId="3C979F4F" w14:textId="5E7763EA" w:rsidR="005E0A47" w:rsidRDefault="005E0A47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5E0A47">
        <w:rPr>
          <w:rFonts w:cstheme="minorHAnsi"/>
        </w:rPr>
        <w:t>Hirschler</w:t>
      </w:r>
      <w:proofErr w:type="spellEnd"/>
      <w:r w:rsidRPr="005E0A47">
        <w:rPr>
          <w:rFonts w:cstheme="minorHAnsi"/>
        </w:rPr>
        <w:t>, Valeria, et al. "Improvement of Apolipoprotein B in Argentine Indigenous School Children after Vitamin D Supplementation." Cardiovascular &amp; Hematological Agents in Medicinal Chemistry (Formerly Current Medicinal Chemistry-Cardiovascular &amp; Hematological Agents) 13.2 (2015): 137-145.</w:t>
      </w:r>
    </w:p>
    <w:p w14:paraId="2540F1BC" w14:textId="2247242C" w:rsidR="00F01972" w:rsidRDefault="00F01972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F01972">
        <w:rPr>
          <w:rFonts w:cstheme="minorHAnsi"/>
        </w:rPr>
        <w:t>Hirschler</w:t>
      </w:r>
      <w:proofErr w:type="spellEnd"/>
      <w:r w:rsidRPr="00F01972">
        <w:rPr>
          <w:rFonts w:cstheme="minorHAnsi"/>
        </w:rPr>
        <w:t xml:space="preserve">, Valeria, et al. "Status of dyslipidemia in vitamin D supplemented </w:t>
      </w:r>
      <w:proofErr w:type="spellStart"/>
      <w:r w:rsidRPr="00F01972">
        <w:rPr>
          <w:rFonts w:cstheme="minorHAnsi"/>
        </w:rPr>
        <w:t>argentinean</w:t>
      </w:r>
      <w:proofErr w:type="spellEnd"/>
      <w:r w:rsidRPr="00F01972">
        <w:rPr>
          <w:rFonts w:cstheme="minorHAnsi"/>
        </w:rPr>
        <w:t xml:space="preserve"> indigenous children versus a non-supplemented mixed population group." Cardiovascular &amp; Hematological Agents in Medicinal Chemistry (Formerly Current Medicinal Chemistry-Cardiovascular &amp; Hematological Agents) 13.2 (2015): 129-136.</w:t>
      </w:r>
    </w:p>
    <w:p w14:paraId="1E4377E4" w14:textId="10271BD4" w:rsidR="004C0D0B" w:rsidRDefault="004C0D0B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4C0D0B">
        <w:rPr>
          <w:rFonts w:cstheme="minorHAnsi"/>
        </w:rPr>
        <w:t>Hirschler</w:t>
      </w:r>
      <w:proofErr w:type="spellEnd"/>
      <w:r w:rsidRPr="004C0D0B">
        <w:rPr>
          <w:rFonts w:cstheme="minorHAnsi"/>
        </w:rPr>
        <w:t>, Valeria, et al. "Improvement in lipid profile after vitamin D supplementation in indigenous argentine school children." Cardiovascular &amp; Hematological Agents in Medicinal Chemistry (Formerly Current Medicinal Chemistry-Cardiovascular &amp; Hematological Agents) 12.1 (2014): 42-49.</w:t>
      </w:r>
    </w:p>
    <w:p w14:paraId="47633E0D" w14:textId="2D9A6866" w:rsidR="005E769F" w:rsidRDefault="005E769F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5E769F">
        <w:rPr>
          <w:rFonts w:cstheme="minorHAnsi"/>
        </w:rPr>
        <w:t>Pyrżak</w:t>
      </w:r>
      <w:proofErr w:type="spellEnd"/>
      <w:r w:rsidRPr="005E769F">
        <w:rPr>
          <w:rFonts w:cstheme="minorHAnsi"/>
        </w:rPr>
        <w:t>, B., et al. "Metabolic and immunological consequences of vitamin d deficiency in obese children." Body Metabolism and Exercise. Springer, Cham, 2014. 13-19.</w:t>
      </w:r>
    </w:p>
    <w:p w14:paraId="17A3EEDE" w14:textId="2045FFA7" w:rsidR="005E769F" w:rsidRDefault="001E6A83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1E6A83">
        <w:rPr>
          <w:rFonts w:cstheme="minorHAnsi"/>
        </w:rPr>
        <w:t>Dror</w:t>
      </w:r>
      <w:proofErr w:type="spellEnd"/>
      <w:r w:rsidRPr="001E6A83">
        <w:rPr>
          <w:rFonts w:cstheme="minorHAnsi"/>
        </w:rPr>
        <w:t>, Yosef, et al. "Vitamin D levels for preventing acute coronary syndrome and mortality: evidence of a nonlinear association." The Journal of Clinical Endocrinology &amp; Metabolism 98.5 (2013): 2160-2167.</w:t>
      </w:r>
    </w:p>
    <w:p w14:paraId="386D64A3" w14:textId="1A03F359" w:rsidR="00B36280" w:rsidRDefault="00B36280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36280">
        <w:rPr>
          <w:rFonts w:cstheme="minorHAnsi"/>
        </w:rPr>
        <w:t>Al-</w:t>
      </w:r>
      <w:proofErr w:type="spellStart"/>
      <w:r w:rsidRPr="00B36280">
        <w:rPr>
          <w:rFonts w:cstheme="minorHAnsi"/>
        </w:rPr>
        <w:t>Shoumer</w:t>
      </w:r>
      <w:proofErr w:type="spellEnd"/>
      <w:r w:rsidRPr="00B36280">
        <w:rPr>
          <w:rFonts w:cstheme="minorHAnsi"/>
        </w:rPr>
        <w:t xml:space="preserve">, Kamal AS, and </w:t>
      </w:r>
      <w:proofErr w:type="spellStart"/>
      <w:r w:rsidRPr="00B36280">
        <w:rPr>
          <w:rFonts w:cstheme="minorHAnsi"/>
        </w:rPr>
        <w:t>Thamer</w:t>
      </w:r>
      <w:proofErr w:type="spellEnd"/>
      <w:r w:rsidRPr="00B36280">
        <w:rPr>
          <w:rFonts w:cstheme="minorHAnsi"/>
        </w:rPr>
        <w:t xml:space="preserve"> M. Al-Essa. "Is there a relationship between vitamin D with insulin resistance and diabetes </w:t>
      </w:r>
      <w:proofErr w:type="gramStart"/>
      <w:r w:rsidRPr="00B36280">
        <w:rPr>
          <w:rFonts w:cstheme="minorHAnsi"/>
        </w:rPr>
        <w:t>mellitus?.</w:t>
      </w:r>
      <w:proofErr w:type="gramEnd"/>
      <w:r w:rsidRPr="00B36280">
        <w:rPr>
          <w:rFonts w:cstheme="minorHAnsi"/>
        </w:rPr>
        <w:t>" World journal of diabetes 6.8 (2015): 1057.</w:t>
      </w:r>
    </w:p>
    <w:p w14:paraId="249B6899" w14:textId="780B0A50" w:rsidR="001B109A" w:rsidRDefault="001B109A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B109A">
        <w:rPr>
          <w:rFonts w:cstheme="minorHAnsi"/>
        </w:rPr>
        <w:t>Margulies, Samantha L., et al. "Vitamin D deficiency in patients with intestinal malabsorption syndromes–think in and outside the gut." Journal of digestive diseases 16.11 (2015): 617-633.</w:t>
      </w:r>
    </w:p>
    <w:p w14:paraId="5A979539" w14:textId="7DB95EF5" w:rsidR="00BD293E" w:rsidRDefault="00BD293E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BD293E">
        <w:rPr>
          <w:rFonts w:cstheme="minorHAnsi"/>
        </w:rPr>
        <w:t>Norton, Laura, et al. "Prevalence of inadequate vitamin d status and associated factors in children with cystic fibrosis." Nutrition in Clinical Practice 30.1 (2015): 111-116.</w:t>
      </w:r>
    </w:p>
    <w:p w14:paraId="4B7CE4EC" w14:textId="510F0E57" w:rsidR="00630A01" w:rsidRDefault="00630A0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630A01">
        <w:rPr>
          <w:rFonts w:cstheme="minorHAnsi"/>
        </w:rPr>
        <w:t>Simoneau</w:t>
      </w:r>
      <w:proofErr w:type="spellEnd"/>
      <w:r w:rsidRPr="00630A01">
        <w:rPr>
          <w:rFonts w:cstheme="minorHAnsi"/>
        </w:rPr>
        <w:t xml:space="preserve">, </w:t>
      </w:r>
      <w:proofErr w:type="spellStart"/>
      <w:r w:rsidRPr="00630A01">
        <w:rPr>
          <w:rFonts w:cstheme="minorHAnsi"/>
        </w:rPr>
        <w:t>Tregony</w:t>
      </w:r>
      <w:proofErr w:type="spellEnd"/>
      <w:r w:rsidRPr="00630A01">
        <w:rPr>
          <w:rFonts w:cstheme="minorHAnsi"/>
        </w:rPr>
        <w:t>, et al. "Vitamin D status in children with cystic fibrosis. Associations with inflammation and bacterial colonization." Annals of the American Thoracic Society 11.2 (2014): 205-210.</w:t>
      </w:r>
    </w:p>
    <w:p w14:paraId="49A5F77F" w14:textId="638CD7E5" w:rsidR="00402287" w:rsidRDefault="00402287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402287">
        <w:rPr>
          <w:rFonts w:cstheme="minorHAnsi"/>
        </w:rPr>
        <w:t>Tangpricha</w:t>
      </w:r>
      <w:proofErr w:type="spellEnd"/>
      <w:r w:rsidRPr="00402287">
        <w:rPr>
          <w:rFonts w:cstheme="minorHAnsi"/>
        </w:rPr>
        <w:t>, Vin, et al. "An update on the screening, diagnosis, management, and treatment of vitamin D deficiency in individuals with cystic fibrosis: evidence-based recommendations from the Cystic Fibrosis Foundation." The Journal of Clinical Endocrinology &amp; Metabolism 97.4 (2012): 1082-1093.</w:t>
      </w:r>
    </w:p>
    <w:p w14:paraId="2D4367E6" w14:textId="3E894AE9" w:rsidR="00970298" w:rsidRDefault="00970298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970298">
        <w:rPr>
          <w:rFonts w:cstheme="minorHAnsi"/>
        </w:rPr>
        <w:t>Tanpowpong</w:t>
      </w:r>
      <w:proofErr w:type="spellEnd"/>
      <w:r w:rsidRPr="00970298">
        <w:rPr>
          <w:rFonts w:cstheme="minorHAnsi"/>
        </w:rPr>
        <w:t xml:space="preserve">, </w:t>
      </w:r>
      <w:proofErr w:type="spellStart"/>
      <w:r w:rsidRPr="00970298">
        <w:rPr>
          <w:rFonts w:cstheme="minorHAnsi"/>
        </w:rPr>
        <w:t>Pornthep</w:t>
      </w:r>
      <w:proofErr w:type="spellEnd"/>
      <w:r w:rsidRPr="00970298">
        <w:rPr>
          <w:rFonts w:cstheme="minorHAnsi"/>
        </w:rPr>
        <w:t>, and Carlos A. Camargo. "Early-life vitamin D deficiency and childhood-onset coeliac disease." Public health nutrition 17.4 (2014): 823-826.</w:t>
      </w:r>
    </w:p>
    <w:p w14:paraId="340BA0A4" w14:textId="31DFBE05" w:rsidR="00795C9A" w:rsidRDefault="00795C9A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795C9A">
        <w:rPr>
          <w:rFonts w:cstheme="minorHAnsi"/>
        </w:rPr>
        <w:t>Capriles</w:t>
      </w:r>
      <w:proofErr w:type="spellEnd"/>
      <w:r w:rsidRPr="00795C9A">
        <w:rPr>
          <w:rFonts w:cstheme="minorHAnsi"/>
        </w:rPr>
        <w:t xml:space="preserve">, Vanessa D., Ligia A. Martini, and José Alfredo G. </w:t>
      </w:r>
      <w:proofErr w:type="spellStart"/>
      <w:r w:rsidRPr="00795C9A">
        <w:rPr>
          <w:rFonts w:cstheme="minorHAnsi"/>
        </w:rPr>
        <w:t>Arêas</w:t>
      </w:r>
      <w:proofErr w:type="spellEnd"/>
      <w:r w:rsidRPr="00795C9A">
        <w:rPr>
          <w:rFonts w:cstheme="minorHAnsi"/>
        </w:rPr>
        <w:t xml:space="preserve">. "Metabolic osteopathy in celiac disease: importance of a gluten-free diet." Nutrition reviews 67.10 </w:t>
      </w:r>
      <w:r w:rsidRPr="00795C9A">
        <w:rPr>
          <w:rFonts w:cstheme="minorHAnsi"/>
        </w:rPr>
        <w:lastRenderedPageBreak/>
        <w:t>(2009): 599-606.</w:t>
      </w:r>
    </w:p>
    <w:p w14:paraId="6F8994A3" w14:textId="53912EFC" w:rsidR="00762504" w:rsidRDefault="00762504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62504">
        <w:rPr>
          <w:rFonts w:cstheme="minorHAnsi"/>
        </w:rPr>
        <w:t>LE ROY, C. A. T. A. L. I. N. A., et al. "</w:t>
      </w:r>
      <w:proofErr w:type="spellStart"/>
      <w:r w:rsidRPr="00762504">
        <w:rPr>
          <w:rFonts w:cstheme="minorHAnsi"/>
        </w:rPr>
        <w:t>Nutrición</w:t>
      </w:r>
      <w:proofErr w:type="spellEnd"/>
      <w:r w:rsidRPr="00762504">
        <w:rPr>
          <w:rFonts w:cstheme="minorHAnsi"/>
        </w:rPr>
        <w:t xml:space="preserve"> del Niño con </w:t>
      </w:r>
      <w:proofErr w:type="spellStart"/>
      <w:r w:rsidRPr="00762504">
        <w:rPr>
          <w:rFonts w:cstheme="minorHAnsi"/>
        </w:rPr>
        <w:t>Enfermedades</w:t>
      </w:r>
      <w:proofErr w:type="spellEnd"/>
      <w:r w:rsidRPr="00762504">
        <w:rPr>
          <w:rFonts w:cstheme="minorHAnsi"/>
        </w:rPr>
        <w:t xml:space="preserve"> </w:t>
      </w:r>
      <w:proofErr w:type="spellStart"/>
      <w:r w:rsidRPr="00762504">
        <w:rPr>
          <w:rFonts w:cstheme="minorHAnsi"/>
        </w:rPr>
        <w:t>Neurológicas</w:t>
      </w:r>
      <w:proofErr w:type="spellEnd"/>
      <w:r w:rsidRPr="00762504">
        <w:rPr>
          <w:rFonts w:cstheme="minorHAnsi"/>
        </w:rPr>
        <w:t xml:space="preserve"> </w:t>
      </w:r>
      <w:proofErr w:type="spellStart"/>
      <w:r w:rsidRPr="00762504">
        <w:rPr>
          <w:rFonts w:cstheme="minorHAnsi"/>
        </w:rPr>
        <w:t>Prevalentes</w:t>
      </w:r>
      <w:proofErr w:type="spellEnd"/>
      <w:r w:rsidRPr="00762504">
        <w:rPr>
          <w:rFonts w:cstheme="minorHAnsi"/>
        </w:rPr>
        <w:t xml:space="preserve">: An Update." </w:t>
      </w:r>
      <w:proofErr w:type="spellStart"/>
      <w:r w:rsidRPr="00762504">
        <w:rPr>
          <w:rFonts w:cstheme="minorHAnsi"/>
        </w:rPr>
        <w:t>Revista</w:t>
      </w:r>
      <w:proofErr w:type="spellEnd"/>
      <w:r w:rsidRPr="00762504">
        <w:rPr>
          <w:rFonts w:cstheme="minorHAnsi"/>
        </w:rPr>
        <w:t xml:space="preserve"> </w:t>
      </w:r>
      <w:proofErr w:type="spellStart"/>
      <w:r w:rsidRPr="00762504">
        <w:rPr>
          <w:rFonts w:cstheme="minorHAnsi"/>
        </w:rPr>
        <w:t>chilena</w:t>
      </w:r>
      <w:proofErr w:type="spellEnd"/>
      <w:r w:rsidRPr="00762504">
        <w:rPr>
          <w:rFonts w:cstheme="minorHAnsi"/>
        </w:rPr>
        <w:t xml:space="preserve"> de </w:t>
      </w:r>
      <w:proofErr w:type="spellStart"/>
      <w:r w:rsidRPr="00762504">
        <w:rPr>
          <w:rFonts w:cstheme="minorHAnsi"/>
        </w:rPr>
        <w:t>pediatría</w:t>
      </w:r>
      <w:proofErr w:type="spellEnd"/>
      <w:r w:rsidRPr="00762504">
        <w:rPr>
          <w:rFonts w:cstheme="minorHAnsi"/>
        </w:rPr>
        <w:t xml:space="preserve"> 81.2 (2010): 103-113.</w:t>
      </w:r>
    </w:p>
    <w:p w14:paraId="03C448D3" w14:textId="2E24E38F" w:rsidR="00E3436C" w:rsidRDefault="00E3436C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E3436C">
        <w:rPr>
          <w:rFonts w:cstheme="minorHAnsi"/>
        </w:rPr>
        <w:t>Belderbos</w:t>
      </w:r>
      <w:proofErr w:type="spellEnd"/>
      <w:r w:rsidRPr="00E3436C">
        <w:rPr>
          <w:rFonts w:cstheme="minorHAnsi"/>
        </w:rPr>
        <w:t xml:space="preserve">, </w:t>
      </w:r>
      <w:proofErr w:type="spellStart"/>
      <w:r w:rsidRPr="00E3436C">
        <w:rPr>
          <w:rFonts w:cstheme="minorHAnsi"/>
        </w:rPr>
        <w:t>Mirjam</w:t>
      </w:r>
      <w:proofErr w:type="spellEnd"/>
      <w:r w:rsidRPr="00E3436C">
        <w:rPr>
          <w:rFonts w:cstheme="minorHAnsi"/>
        </w:rPr>
        <w:t xml:space="preserve"> E., et al. "Cord blood vitamin D deficiency is associated with respiratory syncytial virus bronchiolitis." Pediatrics 127.6 (2011): e1513-e1520.</w:t>
      </w:r>
    </w:p>
    <w:p w14:paraId="583AB5DF" w14:textId="15B4A58C" w:rsidR="007D5979" w:rsidRDefault="007D5979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7D5979">
        <w:rPr>
          <w:rFonts w:cstheme="minorHAnsi"/>
        </w:rPr>
        <w:t>Łuczyńska</w:t>
      </w:r>
      <w:proofErr w:type="spellEnd"/>
      <w:r w:rsidRPr="007D5979">
        <w:rPr>
          <w:rFonts w:cstheme="minorHAnsi"/>
        </w:rPr>
        <w:t>, Anna, et al. "Cord blood 25 (OH) D levels and the subsequent risk of lower respiratory tract infections in early childhood: the Ulm birth cohort." European journal of epidemiology 29.8 (2014): 585-594.</w:t>
      </w:r>
    </w:p>
    <w:p w14:paraId="4E3FB464" w14:textId="1ABE00A7" w:rsidR="00D6266C" w:rsidRDefault="00D6266C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D6266C">
        <w:rPr>
          <w:rFonts w:cstheme="minorHAnsi"/>
        </w:rPr>
        <w:t xml:space="preserve">Esposito, Susanna, and Mara </w:t>
      </w:r>
      <w:proofErr w:type="spellStart"/>
      <w:r w:rsidRPr="00D6266C">
        <w:rPr>
          <w:rFonts w:cstheme="minorHAnsi"/>
        </w:rPr>
        <w:t>Lelii</w:t>
      </w:r>
      <w:proofErr w:type="spellEnd"/>
      <w:r w:rsidRPr="00D6266C">
        <w:rPr>
          <w:rFonts w:cstheme="minorHAnsi"/>
        </w:rPr>
        <w:t>. "Vitamin D and respiratory tract infections in childhood." BMC infectious diseases 15.1 (2015): 487.</w:t>
      </w:r>
    </w:p>
    <w:p w14:paraId="062BBECB" w14:textId="08628C26" w:rsidR="009058FD" w:rsidRDefault="009058FD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058FD">
        <w:rPr>
          <w:rFonts w:cstheme="minorHAnsi"/>
        </w:rPr>
        <w:t xml:space="preserve">Urashima, </w:t>
      </w:r>
      <w:proofErr w:type="spellStart"/>
      <w:r w:rsidRPr="009058FD">
        <w:rPr>
          <w:rFonts w:cstheme="minorHAnsi"/>
        </w:rPr>
        <w:t>Mitsuyoshi</w:t>
      </w:r>
      <w:proofErr w:type="spellEnd"/>
      <w:r w:rsidRPr="009058FD">
        <w:rPr>
          <w:rFonts w:cstheme="minorHAnsi"/>
        </w:rPr>
        <w:t>, et al. "Randomized trial of vitamin D supplementation to prevent seasonal influenza A in schoolchildren." The American journal of clinical nutrition 91.5 (2010): 1255-1260.</w:t>
      </w:r>
    </w:p>
    <w:p w14:paraId="47A73152" w14:textId="611A887F" w:rsidR="00E45574" w:rsidRDefault="00E45574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E45574">
        <w:rPr>
          <w:rFonts w:cstheme="minorHAnsi"/>
        </w:rPr>
        <w:t>Tang, Jean Y., and Ervin H. Epstein Jr. "Vitamin D and skin cancer." Vitamin D. Academic Press, 2011. 1751-1762.</w:t>
      </w:r>
    </w:p>
    <w:p w14:paraId="51F365EC" w14:textId="5F43300D" w:rsidR="0083097E" w:rsidRDefault="0083097E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83097E">
        <w:rPr>
          <w:rFonts w:cstheme="minorHAnsi"/>
        </w:rPr>
        <w:t>Einisman</w:t>
      </w:r>
      <w:proofErr w:type="spellEnd"/>
      <w:r w:rsidRPr="0083097E">
        <w:rPr>
          <w:rFonts w:cstheme="minorHAnsi"/>
        </w:rPr>
        <w:t xml:space="preserve">, </w:t>
      </w:r>
      <w:proofErr w:type="spellStart"/>
      <w:r w:rsidRPr="0083097E">
        <w:rPr>
          <w:rFonts w:cstheme="minorHAnsi"/>
        </w:rPr>
        <w:t>Helly</w:t>
      </w:r>
      <w:proofErr w:type="spellEnd"/>
      <w:r w:rsidRPr="0083097E">
        <w:rPr>
          <w:rFonts w:cstheme="minorHAnsi"/>
        </w:rPr>
        <w:t>, et al. "Vitamin D levels and vitamin D receptor gene polymorphisms in asthmatic children: a case–control study." Pediatric Allergy and Immunology 26.6 (2015): 545-550.</w:t>
      </w:r>
    </w:p>
    <w:p w14:paraId="2F974CF9" w14:textId="51E92DAF" w:rsidR="0090059F" w:rsidRDefault="0090059F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0059F">
        <w:rPr>
          <w:rFonts w:cstheme="minorHAnsi"/>
        </w:rPr>
        <w:t xml:space="preserve">Kerley, </w:t>
      </w:r>
      <w:proofErr w:type="spellStart"/>
      <w:r w:rsidRPr="0090059F">
        <w:rPr>
          <w:rFonts w:cstheme="minorHAnsi"/>
        </w:rPr>
        <w:t>Conor</w:t>
      </w:r>
      <w:proofErr w:type="spellEnd"/>
      <w:r w:rsidRPr="0090059F">
        <w:rPr>
          <w:rFonts w:cstheme="minorHAnsi"/>
        </w:rPr>
        <w:t xml:space="preserve"> P., et al. "Vitamin D3 for uncontrolled childhood asthma: a pilot study." Pediatric Allergy and Immunology 27.4 (2016): 404-412.</w:t>
      </w:r>
    </w:p>
    <w:p w14:paraId="798A806A" w14:textId="1B3B6D9B" w:rsidR="001F13AF" w:rsidRDefault="001F13AF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F13AF">
        <w:rPr>
          <w:rFonts w:cstheme="minorHAnsi"/>
        </w:rPr>
        <w:t>Villamor, Eduardo, et al. "Vitamin D deficiency and age at menarche: a prospective study." The American journal of clinical nutrition 94.4 (2011): 1020-1025.</w:t>
      </w:r>
    </w:p>
    <w:p w14:paraId="51E89552" w14:textId="4CD845FE" w:rsidR="000374FF" w:rsidRDefault="000374FF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74FF">
        <w:rPr>
          <w:rFonts w:cstheme="minorHAnsi"/>
        </w:rPr>
        <w:t xml:space="preserve">Kao, Kung‐Ting, et al. "Low vitamin D is associated with hypertension in </w:t>
      </w:r>
      <w:proofErr w:type="spellStart"/>
      <w:r w:rsidRPr="000374FF">
        <w:rPr>
          <w:rFonts w:cstheme="minorHAnsi"/>
        </w:rPr>
        <w:t>paediatric</w:t>
      </w:r>
      <w:proofErr w:type="spellEnd"/>
      <w:r w:rsidRPr="000374FF">
        <w:rPr>
          <w:rFonts w:cstheme="minorHAnsi"/>
        </w:rPr>
        <w:t xml:space="preserve"> obesity." Journal of </w:t>
      </w:r>
      <w:proofErr w:type="spellStart"/>
      <w:r w:rsidRPr="000374FF">
        <w:rPr>
          <w:rFonts w:cstheme="minorHAnsi"/>
        </w:rPr>
        <w:t>paediatrics</w:t>
      </w:r>
      <w:proofErr w:type="spellEnd"/>
      <w:r w:rsidRPr="000374FF">
        <w:rPr>
          <w:rFonts w:cstheme="minorHAnsi"/>
        </w:rPr>
        <w:t xml:space="preserve"> and child health 51.12 (2015): 1207-1213.</w:t>
      </w:r>
    </w:p>
    <w:p w14:paraId="2001EFCD" w14:textId="45D3CBE0" w:rsidR="00033271" w:rsidRDefault="00033271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3271">
        <w:rPr>
          <w:rFonts w:cstheme="minorHAnsi"/>
        </w:rPr>
        <w:t>Carlberg, Carsten, and Moray J. Campbell. "Vitamin D receptor signaling mechanisms: integrated actions of a well-defined transcription factor." Steroids 78.2 (2013): 127-136.</w:t>
      </w:r>
    </w:p>
    <w:p w14:paraId="69411861" w14:textId="5CDDF780" w:rsidR="00711C1D" w:rsidRDefault="00711C1D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711C1D">
        <w:rPr>
          <w:rFonts w:cstheme="minorHAnsi"/>
        </w:rPr>
        <w:t>Caruso, Roberta, et al. "Appropriate nutrient supplementation in celiac disease." Annals of medicine 45.8 (2013): 522-531.</w:t>
      </w:r>
    </w:p>
    <w:p w14:paraId="4A6CCFDA" w14:textId="124CF196" w:rsidR="00B029FF" w:rsidRPr="00156DD7" w:rsidRDefault="00B029FF" w:rsidP="00156DD7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proofErr w:type="spellStart"/>
      <w:r w:rsidRPr="00B029FF">
        <w:rPr>
          <w:rFonts w:cstheme="minorHAnsi"/>
        </w:rPr>
        <w:t>Tachimoto</w:t>
      </w:r>
      <w:proofErr w:type="spellEnd"/>
      <w:r w:rsidRPr="00B029FF">
        <w:rPr>
          <w:rFonts w:cstheme="minorHAnsi"/>
        </w:rPr>
        <w:t>, H., et al. "Improved control of childhood asthma with low‐dose, short‐term vitamin D supplementation: a randomized, double‐blind, placebo‐controlled trial." Allergy 71.7 (2016): 1001-1009.</w:t>
      </w:r>
    </w:p>
    <w:p w14:paraId="0E60E9F1" w14:textId="36FB8098" w:rsidR="00DE1B04" w:rsidRDefault="00DE1B04" w:rsidP="00A719E3">
      <w:pPr>
        <w:spacing w:line="276" w:lineRule="auto"/>
        <w:jc w:val="both"/>
        <w:rPr>
          <w:rFonts w:cstheme="minorHAnsi"/>
        </w:rPr>
      </w:pPr>
    </w:p>
    <w:p w14:paraId="698109FA" w14:textId="1668B5F5" w:rsidR="00DE1B04" w:rsidRDefault="00DE1B04" w:rsidP="00A719E3">
      <w:pPr>
        <w:spacing w:line="276" w:lineRule="auto"/>
        <w:jc w:val="both"/>
        <w:rPr>
          <w:rFonts w:cstheme="minorHAnsi"/>
        </w:rPr>
      </w:pPr>
    </w:p>
    <w:p w14:paraId="4A192E54" w14:textId="77777777" w:rsidR="00DE1B04" w:rsidRPr="006C27F0" w:rsidRDefault="00DE1B04" w:rsidP="00A719E3">
      <w:pPr>
        <w:spacing w:line="276" w:lineRule="auto"/>
        <w:jc w:val="both"/>
        <w:rPr>
          <w:rFonts w:cstheme="minorHAnsi"/>
        </w:rPr>
      </w:pPr>
    </w:p>
    <w:sectPr w:rsidR="00DE1B04" w:rsidRPr="006C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BBD9E" w14:textId="77777777" w:rsidR="009C43C5" w:rsidRDefault="009C43C5" w:rsidP="003A615C">
      <w:pPr>
        <w:spacing w:after="0" w:line="240" w:lineRule="auto"/>
      </w:pPr>
      <w:r>
        <w:separator/>
      </w:r>
    </w:p>
  </w:endnote>
  <w:endnote w:type="continuationSeparator" w:id="0">
    <w:p w14:paraId="7195D1A8" w14:textId="77777777" w:rsidR="009C43C5" w:rsidRDefault="009C43C5" w:rsidP="003A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4B8F" w14:textId="77777777" w:rsidR="009C43C5" w:rsidRDefault="009C43C5" w:rsidP="003A615C">
      <w:pPr>
        <w:spacing w:after="0" w:line="240" w:lineRule="auto"/>
      </w:pPr>
      <w:r>
        <w:separator/>
      </w:r>
    </w:p>
  </w:footnote>
  <w:footnote w:type="continuationSeparator" w:id="0">
    <w:p w14:paraId="31F20C72" w14:textId="77777777" w:rsidR="009C43C5" w:rsidRDefault="009C43C5" w:rsidP="003A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6CF"/>
    <w:multiLevelType w:val="hybridMultilevel"/>
    <w:tmpl w:val="F62CA3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A93"/>
    <w:multiLevelType w:val="hybridMultilevel"/>
    <w:tmpl w:val="FE8A83D6"/>
    <w:lvl w:ilvl="0" w:tplc="2CA8A5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E89412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FA0C5ED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ADED1FE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B3CAF584"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65DC21C6"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2AEAC2C8">
      <w:numFmt w:val="bullet"/>
      <w:lvlText w:val="•"/>
      <w:lvlJc w:val="left"/>
      <w:pPr>
        <w:ind w:left="5742" w:hanging="360"/>
      </w:pPr>
      <w:rPr>
        <w:rFonts w:hint="default"/>
      </w:rPr>
    </w:lvl>
    <w:lvl w:ilvl="7" w:tplc="FCFACC46">
      <w:numFmt w:val="bullet"/>
      <w:lvlText w:val="•"/>
      <w:lvlJc w:val="left"/>
      <w:pPr>
        <w:ind w:left="6562" w:hanging="360"/>
      </w:pPr>
      <w:rPr>
        <w:rFonts w:hint="default"/>
      </w:rPr>
    </w:lvl>
    <w:lvl w:ilvl="8" w:tplc="2B18ABA0">
      <w:numFmt w:val="bullet"/>
      <w:lvlText w:val="•"/>
      <w:lvlJc w:val="left"/>
      <w:pPr>
        <w:ind w:left="7383" w:hanging="360"/>
      </w:pPr>
      <w:rPr>
        <w:rFonts w:hint="default"/>
      </w:rPr>
    </w:lvl>
  </w:abstractNum>
  <w:abstractNum w:abstractNumId="2" w15:restartNumberingAfterBreak="0">
    <w:nsid w:val="12A6154A"/>
    <w:multiLevelType w:val="multilevel"/>
    <w:tmpl w:val="D0A4D5D2"/>
    <w:lvl w:ilvl="0">
      <w:start w:val="5"/>
      <w:numFmt w:val="decimal"/>
      <w:lvlText w:val="%1"/>
      <w:lvlJc w:val="left"/>
      <w:pPr>
        <w:ind w:left="117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Microsoft Sans Serif" w:eastAsia="Microsoft Sans Serif" w:hAnsi="Microsoft Sans Serif" w:cs="Microsoft Sans Serif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</w:rPr>
    </w:lvl>
    <w:lvl w:ilvl="3">
      <w:numFmt w:val="bullet"/>
      <w:lvlText w:val="•"/>
      <w:lvlJc w:val="left"/>
      <w:pPr>
        <w:ind w:left="2935" w:hanging="708"/>
      </w:pPr>
      <w:rPr>
        <w:rFonts w:hint="default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</w:rPr>
    </w:lvl>
    <w:lvl w:ilvl="5">
      <w:numFmt w:val="bullet"/>
      <w:lvlText w:val="•"/>
      <w:lvlJc w:val="left"/>
      <w:pPr>
        <w:ind w:left="4813" w:hanging="708"/>
      </w:pPr>
      <w:rPr>
        <w:rFonts w:hint="default"/>
      </w:rPr>
    </w:lvl>
    <w:lvl w:ilvl="6">
      <w:numFmt w:val="bullet"/>
      <w:lvlText w:val="•"/>
      <w:lvlJc w:val="left"/>
      <w:pPr>
        <w:ind w:left="5751" w:hanging="708"/>
      </w:pPr>
      <w:rPr>
        <w:rFonts w:hint="default"/>
      </w:rPr>
    </w:lvl>
    <w:lvl w:ilvl="7">
      <w:numFmt w:val="bullet"/>
      <w:lvlText w:val="•"/>
      <w:lvlJc w:val="left"/>
      <w:pPr>
        <w:ind w:left="6690" w:hanging="708"/>
      </w:pPr>
      <w:rPr>
        <w:rFonts w:hint="default"/>
      </w:rPr>
    </w:lvl>
    <w:lvl w:ilvl="8">
      <w:numFmt w:val="bullet"/>
      <w:lvlText w:val="•"/>
      <w:lvlJc w:val="left"/>
      <w:pPr>
        <w:ind w:left="7628" w:hanging="708"/>
      </w:pPr>
      <w:rPr>
        <w:rFonts w:hint="default"/>
      </w:rPr>
    </w:lvl>
  </w:abstractNum>
  <w:abstractNum w:abstractNumId="3" w15:restartNumberingAfterBreak="0">
    <w:nsid w:val="142468CE"/>
    <w:multiLevelType w:val="hybridMultilevel"/>
    <w:tmpl w:val="E1721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050547"/>
    <w:multiLevelType w:val="hybridMultilevel"/>
    <w:tmpl w:val="57FA97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513F"/>
    <w:multiLevelType w:val="hybridMultilevel"/>
    <w:tmpl w:val="5726CD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2821"/>
    <w:multiLevelType w:val="multilevel"/>
    <w:tmpl w:val="77CC4DAE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2CAC7885"/>
    <w:multiLevelType w:val="hybridMultilevel"/>
    <w:tmpl w:val="C3368838"/>
    <w:lvl w:ilvl="0" w:tplc="3C7CBFDE">
      <w:numFmt w:val="bullet"/>
      <w:lvlText w:val=""/>
      <w:lvlJc w:val="left"/>
      <w:pPr>
        <w:ind w:left="837" w:hanging="34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95A625A">
      <w:numFmt w:val="bullet"/>
      <w:lvlText w:val="•"/>
      <w:lvlJc w:val="left"/>
      <w:pPr>
        <w:ind w:left="1706" w:hanging="349"/>
      </w:pPr>
      <w:rPr>
        <w:rFonts w:hint="default"/>
      </w:rPr>
    </w:lvl>
    <w:lvl w:ilvl="2" w:tplc="6B421A26">
      <w:numFmt w:val="bullet"/>
      <w:lvlText w:val="•"/>
      <w:lvlJc w:val="left"/>
      <w:pPr>
        <w:ind w:left="2573" w:hanging="349"/>
      </w:pPr>
      <w:rPr>
        <w:rFonts w:hint="default"/>
      </w:rPr>
    </w:lvl>
    <w:lvl w:ilvl="3" w:tplc="9A342EB2">
      <w:numFmt w:val="bullet"/>
      <w:lvlText w:val="•"/>
      <w:lvlJc w:val="left"/>
      <w:pPr>
        <w:ind w:left="3439" w:hanging="349"/>
      </w:pPr>
      <w:rPr>
        <w:rFonts w:hint="default"/>
      </w:rPr>
    </w:lvl>
    <w:lvl w:ilvl="4" w:tplc="CEB8DF9A">
      <w:numFmt w:val="bullet"/>
      <w:lvlText w:val="•"/>
      <w:lvlJc w:val="left"/>
      <w:pPr>
        <w:ind w:left="4306" w:hanging="349"/>
      </w:pPr>
      <w:rPr>
        <w:rFonts w:hint="default"/>
      </w:rPr>
    </w:lvl>
    <w:lvl w:ilvl="5" w:tplc="C4B256C0">
      <w:numFmt w:val="bullet"/>
      <w:lvlText w:val="•"/>
      <w:lvlJc w:val="left"/>
      <w:pPr>
        <w:ind w:left="5173" w:hanging="349"/>
      </w:pPr>
      <w:rPr>
        <w:rFonts w:hint="default"/>
      </w:rPr>
    </w:lvl>
    <w:lvl w:ilvl="6" w:tplc="5ADADD9E">
      <w:numFmt w:val="bullet"/>
      <w:lvlText w:val="•"/>
      <w:lvlJc w:val="left"/>
      <w:pPr>
        <w:ind w:left="6039" w:hanging="349"/>
      </w:pPr>
      <w:rPr>
        <w:rFonts w:hint="default"/>
      </w:rPr>
    </w:lvl>
    <w:lvl w:ilvl="7" w:tplc="7646F602">
      <w:numFmt w:val="bullet"/>
      <w:lvlText w:val="•"/>
      <w:lvlJc w:val="left"/>
      <w:pPr>
        <w:ind w:left="6906" w:hanging="349"/>
      </w:pPr>
      <w:rPr>
        <w:rFonts w:hint="default"/>
      </w:rPr>
    </w:lvl>
    <w:lvl w:ilvl="8" w:tplc="3956226C">
      <w:numFmt w:val="bullet"/>
      <w:lvlText w:val="•"/>
      <w:lvlJc w:val="left"/>
      <w:pPr>
        <w:ind w:left="7772" w:hanging="349"/>
      </w:pPr>
      <w:rPr>
        <w:rFonts w:hint="default"/>
      </w:rPr>
    </w:lvl>
  </w:abstractNum>
  <w:abstractNum w:abstractNumId="8" w15:restartNumberingAfterBreak="0">
    <w:nsid w:val="3E795CF4"/>
    <w:multiLevelType w:val="hybridMultilevel"/>
    <w:tmpl w:val="7486BB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1F4C"/>
    <w:multiLevelType w:val="hybridMultilevel"/>
    <w:tmpl w:val="CFD811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340"/>
    <w:multiLevelType w:val="hybridMultilevel"/>
    <w:tmpl w:val="714A92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3791"/>
    <w:multiLevelType w:val="multilevel"/>
    <w:tmpl w:val="7B468888"/>
    <w:lvl w:ilvl="0">
      <w:start w:val="3"/>
      <w:numFmt w:val="decimal"/>
      <w:lvlText w:val="%1."/>
      <w:lvlJc w:val="left"/>
      <w:pPr>
        <w:ind w:left="825" w:hanging="708"/>
      </w:pPr>
      <w:rPr>
        <w:rFonts w:ascii="Microsoft Sans Serif" w:eastAsia="Microsoft Sans Serif" w:hAnsi="Microsoft Sans Serif" w:cs="Microsoft Sans Serif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708"/>
      </w:pPr>
      <w:rPr>
        <w:rFonts w:ascii="Microsoft Sans Serif" w:eastAsia="Microsoft Sans Serif" w:hAnsi="Microsoft Sans Serif" w:cs="Microsoft Sans Serif" w:hint="default"/>
        <w:b/>
        <w:bCs/>
        <w:spacing w:val="-1"/>
        <w:w w:val="99"/>
        <w:sz w:val="20"/>
        <w:szCs w:val="20"/>
      </w:rPr>
    </w:lvl>
    <w:lvl w:ilvl="2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765" w:hanging="360"/>
      </w:pPr>
      <w:rPr>
        <w:rFonts w:hint="default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</w:rPr>
    </w:lvl>
    <w:lvl w:ilvl="5">
      <w:numFmt w:val="bullet"/>
      <w:lvlText w:val="•"/>
      <w:lvlJc w:val="left"/>
      <w:pPr>
        <w:ind w:left="4691" w:hanging="360"/>
      </w:pPr>
      <w:rPr>
        <w:rFonts w:hint="default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</w:rPr>
    </w:lvl>
    <w:lvl w:ilvl="7">
      <w:numFmt w:val="bullet"/>
      <w:lvlText w:val="•"/>
      <w:lvlJc w:val="left"/>
      <w:pPr>
        <w:ind w:left="6617" w:hanging="360"/>
      </w:pPr>
      <w:rPr>
        <w:rFonts w:hint="default"/>
      </w:rPr>
    </w:lvl>
    <w:lvl w:ilvl="8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2" w15:restartNumberingAfterBreak="0">
    <w:nsid w:val="5FC27355"/>
    <w:multiLevelType w:val="hybridMultilevel"/>
    <w:tmpl w:val="A38CC6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6B8"/>
    <w:multiLevelType w:val="multilevel"/>
    <w:tmpl w:val="4B600AFC"/>
    <w:lvl w:ilvl="0">
      <w:start w:val="6"/>
      <w:numFmt w:val="decimal"/>
      <w:lvlText w:val="%1"/>
      <w:lvlJc w:val="left"/>
      <w:pPr>
        <w:ind w:left="395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279"/>
      </w:pPr>
      <w:rPr>
        <w:rFonts w:ascii="Microsoft Sans Serif" w:eastAsia="Microsoft Sans Serif" w:hAnsi="Microsoft Sans Serif" w:cs="Microsoft Sans Serif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2221" w:hanging="279"/>
      </w:pPr>
      <w:rPr>
        <w:rFonts w:hint="default"/>
      </w:rPr>
    </w:lvl>
    <w:lvl w:ilvl="3">
      <w:numFmt w:val="bullet"/>
      <w:lvlText w:val="•"/>
      <w:lvlJc w:val="left"/>
      <w:pPr>
        <w:ind w:left="3131" w:hanging="279"/>
      </w:pPr>
      <w:rPr>
        <w:rFonts w:hint="default"/>
      </w:rPr>
    </w:lvl>
    <w:lvl w:ilvl="4">
      <w:numFmt w:val="bullet"/>
      <w:lvlText w:val="•"/>
      <w:lvlJc w:val="left"/>
      <w:pPr>
        <w:ind w:left="4042" w:hanging="279"/>
      </w:pPr>
      <w:rPr>
        <w:rFonts w:hint="default"/>
      </w:rPr>
    </w:lvl>
    <w:lvl w:ilvl="5">
      <w:numFmt w:val="bullet"/>
      <w:lvlText w:val="•"/>
      <w:lvlJc w:val="left"/>
      <w:pPr>
        <w:ind w:left="4953" w:hanging="279"/>
      </w:pPr>
      <w:rPr>
        <w:rFonts w:hint="default"/>
      </w:rPr>
    </w:lvl>
    <w:lvl w:ilvl="6">
      <w:numFmt w:val="bullet"/>
      <w:lvlText w:val="•"/>
      <w:lvlJc w:val="left"/>
      <w:pPr>
        <w:ind w:left="5863" w:hanging="279"/>
      </w:pPr>
      <w:rPr>
        <w:rFonts w:hint="default"/>
      </w:rPr>
    </w:lvl>
    <w:lvl w:ilvl="7">
      <w:numFmt w:val="bullet"/>
      <w:lvlText w:val="•"/>
      <w:lvlJc w:val="left"/>
      <w:pPr>
        <w:ind w:left="6774" w:hanging="279"/>
      </w:pPr>
      <w:rPr>
        <w:rFonts w:hint="default"/>
      </w:rPr>
    </w:lvl>
    <w:lvl w:ilvl="8">
      <w:numFmt w:val="bullet"/>
      <w:lvlText w:val="•"/>
      <w:lvlJc w:val="left"/>
      <w:pPr>
        <w:ind w:left="7684" w:hanging="279"/>
      </w:pPr>
      <w:rPr>
        <w:rFonts w:hint="default"/>
      </w:rPr>
    </w:lvl>
  </w:abstractNum>
  <w:abstractNum w:abstractNumId="14" w15:restartNumberingAfterBreak="0">
    <w:nsid w:val="7F6B00B5"/>
    <w:multiLevelType w:val="multilevel"/>
    <w:tmpl w:val="1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ED"/>
    <w:rsid w:val="0001553C"/>
    <w:rsid w:val="00015809"/>
    <w:rsid w:val="000316F6"/>
    <w:rsid w:val="00033271"/>
    <w:rsid w:val="000374FF"/>
    <w:rsid w:val="00037936"/>
    <w:rsid w:val="0004483B"/>
    <w:rsid w:val="00045482"/>
    <w:rsid w:val="00052CAC"/>
    <w:rsid w:val="00053BAF"/>
    <w:rsid w:val="000869ED"/>
    <w:rsid w:val="0008702D"/>
    <w:rsid w:val="0009045B"/>
    <w:rsid w:val="000A13EF"/>
    <w:rsid w:val="000A577F"/>
    <w:rsid w:val="000E4637"/>
    <w:rsid w:val="000F6300"/>
    <w:rsid w:val="00100A35"/>
    <w:rsid w:val="00136A8C"/>
    <w:rsid w:val="00156DD7"/>
    <w:rsid w:val="001655ED"/>
    <w:rsid w:val="00190086"/>
    <w:rsid w:val="001B109A"/>
    <w:rsid w:val="001B391C"/>
    <w:rsid w:val="001C7990"/>
    <w:rsid w:val="001D44C3"/>
    <w:rsid w:val="001E0288"/>
    <w:rsid w:val="001E2E9C"/>
    <w:rsid w:val="001E6A83"/>
    <w:rsid w:val="001F02DC"/>
    <w:rsid w:val="001F13AF"/>
    <w:rsid w:val="00236DAC"/>
    <w:rsid w:val="0023777F"/>
    <w:rsid w:val="002453A2"/>
    <w:rsid w:val="00245465"/>
    <w:rsid w:val="00251D4C"/>
    <w:rsid w:val="002623E1"/>
    <w:rsid w:val="00270E34"/>
    <w:rsid w:val="002A4EB5"/>
    <w:rsid w:val="002D2F2A"/>
    <w:rsid w:val="002D477E"/>
    <w:rsid w:val="002D59C6"/>
    <w:rsid w:val="002D7A24"/>
    <w:rsid w:val="002E1828"/>
    <w:rsid w:val="002E6F77"/>
    <w:rsid w:val="002F1BA6"/>
    <w:rsid w:val="00320BAE"/>
    <w:rsid w:val="00354FE8"/>
    <w:rsid w:val="003756BA"/>
    <w:rsid w:val="00386290"/>
    <w:rsid w:val="00386E83"/>
    <w:rsid w:val="00393C3F"/>
    <w:rsid w:val="0039418F"/>
    <w:rsid w:val="003A615C"/>
    <w:rsid w:val="003A6EC0"/>
    <w:rsid w:val="003E75C3"/>
    <w:rsid w:val="003F76CE"/>
    <w:rsid w:val="00402287"/>
    <w:rsid w:val="00433632"/>
    <w:rsid w:val="00445B71"/>
    <w:rsid w:val="00461404"/>
    <w:rsid w:val="004735C4"/>
    <w:rsid w:val="004900BE"/>
    <w:rsid w:val="004A5106"/>
    <w:rsid w:val="004A54B3"/>
    <w:rsid w:val="004A789E"/>
    <w:rsid w:val="004B4DC4"/>
    <w:rsid w:val="004B5DFE"/>
    <w:rsid w:val="004C0D0B"/>
    <w:rsid w:val="004C7739"/>
    <w:rsid w:val="005005A6"/>
    <w:rsid w:val="00532CF2"/>
    <w:rsid w:val="00532EAF"/>
    <w:rsid w:val="0053425B"/>
    <w:rsid w:val="00536701"/>
    <w:rsid w:val="00540F9C"/>
    <w:rsid w:val="00542D6B"/>
    <w:rsid w:val="00563129"/>
    <w:rsid w:val="00563FE8"/>
    <w:rsid w:val="00567DD6"/>
    <w:rsid w:val="00587517"/>
    <w:rsid w:val="005A51B9"/>
    <w:rsid w:val="005E0A47"/>
    <w:rsid w:val="005E233B"/>
    <w:rsid w:val="005E769F"/>
    <w:rsid w:val="00600147"/>
    <w:rsid w:val="0060799C"/>
    <w:rsid w:val="006301AA"/>
    <w:rsid w:val="00630A01"/>
    <w:rsid w:val="006522F0"/>
    <w:rsid w:val="006773A0"/>
    <w:rsid w:val="00686E1E"/>
    <w:rsid w:val="006B7518"/>
    <w:rsid w:val="006C27F0"/>
    <w:rsid w:val="006D62B0"/>
    <w:rsid w:val="00711C1D"/>
    <w:rsid w:val="0075492B"/>
    <w:rsid w:val="00756279"/>
    <w:rsid w:val="00760298"/>
    <w:rsid w:val="00762504"/>
    <w:rsid w:val="00795C9A"/>
    <w:rsid w:val="007C1821"/>
    <w:rsid w:val="007C19E7"/>
    <w:rsid w:val="007D528A"/>
    <w:rsid w:val="007D5979"/>
    <w:rsid w:val="007F1B8D"/>
    <w:rsid w:val="007F1D04"/>
    <w:rsid w:val="007F57AD"/>
    <w:rsid w:val="00803C59"/>
    <w:rsid w:val="00805B7A"/>
    <w:rsid w:val="00813DE1"/>
    <w:rsid w:val="00823424"/>
    <w:rsid w:val="0083097E"/>
    <w:rsid w:val="00883D34"/>
    <w:rsid w:val="00893F2F"/>
    <w:rsid w:val="008A5683"/>
    <w:rsid w:val="008B395B"/>
    <w:rsid w:val="008B4259"/>
    <w:rsid w:val="008B7758"/>
    <w:rsid w:val="008C5034"/>
    <w:rsid w:val="008D6AF2"/>
    <w:rsid w:val="008E27DD"/>
    <w:rsid w:val="008F2481"/>
    <w:rsid w:val="0090059F"/>
    <w:rsid w:val="009058FD"/>
    <w:rsid w:val="00911F5C"/>
    <w:rsid w:val="00934986"/>
    <w:rsid w:val="0093716B"/>
    <w:rsid w:val="00946F1C"/>
    <w:rsid w:val="00955B83"/>
    <w:rsid w:val="0096519E"/>
    <w:rsid w:val="00970298"/>
    <w:rsid w:val="00982B8B"/>
    <w:rsid w:val="009865CA"/>
    <w:rsid w:val="00993052"/>
    <w:rsid w:val="009972B8"/>
    <w:rsid w:val="009A35BC"/>
    <w:rsid w:val="009B2293"/>
    <w:rsid w:val="009B2699"/>
    <w:rsid w:val="009B314B"/>
    <w:rsid w:val="009B4800"/>
    <w:rsid w:val="009B67C2"/>
    <w:rsid w:val="009B69D3"/>
    <w:rsid w:val="009C43C5"/>
    <w:rsid w:val="009C52E1"/>
    <w:rsid w:val="009D554D"/>
    <w:rsid w:val="009E1E8F"/>
    <w:rsid w:val="009E462C"/>
    <w:rsid w:val="009F13D3"/>
    <w:rsid w:val="009F434D"/>
    <w:rsid w:val="00A0230F"/>
    <w:rsid w:val="00A136D8"/>
    <w:rsid w:val="00A26A4B"/>
    <w:rsid w:val="00A26D2E"/>
    <w:rsid w:val="00A34031"/>
    <w:rsid w:val="00A3639F"/>
    <w:rsid w:val="00A444F9"/>
    <w:rsid w:val="00A479D5"/>
    <w:rsid w:val="00A60992"/>
    <w:rsid w:val="00A719E3"/>
    <w:rsid w:val="00AA126B"/>
    <w:rsid w:val="00AA4029"/>
    <w:rsid w:val="00AA7F9E"/>
    <w:rsid w:val="00AD2703"/>
    <w:rsid w:val="00AE0A37"/>
    <w:rsid w:val="00AE4762"/>
    <w:rsid w:val="00B029FF"/>
    <w:rsid w:val="00B02F5F"/>
    <w:rsid w:val="00B10E40"/>
    <w:rsid w:val="00B21F23"/>
    <w:rsid w:val="00B2215C"/>
    <w:rsid w:val="00B2245A"/>
    <w:rsid w:val="00B263EB"/>
    <w:rsid w:val="00B27997"/>
    <w:rsid w:val="00B36280"/>
    <w:rsid w:val="00B36E62"/>
    <w:rsid w:val="00B56864"/>
    <w:rsid w:val="00B829E3"/>
    <w:rsid w:val="00B85857"/>
    <w:rsid w:val="00B91EE8"/>
    <w:rsid w:val="00B928EA"/>
    <w:rsid w:val="00B949B0"/>
    <w:rsid w:val="00B950C3"/>
    <w:rsid w:val="00BB1615"/>
    <w:rsid w:val="00BB1E75"/>
    <w:rsid w:val="00BC576D"/>
    <w:rsid w:val="00BD2004"/>
    <w:rsid w:val="00BD293E"/>
    <w:rsid w:val="00BE5253"/>
    <w:rsid w:val="00BF5A5F"/>
    <w:rsid w:val="00C13D96"/>
    <w:rsid w:val="00C34D75"/>
    <w:rsid w:val="00C37E2E"/>
    <w:rsid w:val="00C458EC"/>
    <w:rsid w:val="00C62245"/>
    <w:rsid w:val="00C70F7C"/>
    <w:rsid w:val="00C719BC"/>
    <w:rsid w:val="00C94FB6"/>
    <w:rsid w:val="00CA08DB"/>
    <w:rsid w:val="00CA12B7"/>
    <w:rsid w:val="00CA3306"/>
    <w:rsid w:val="00CA56EE"/>
    <w:rsid w:val="00CA7336"/>
    <w:rsid w:val="00CC416D"/>
    <w:rsid w:val="00CC45B7"/>
    <w:rsid w:val="00CC5723"/>
    <w:rsid w:val="00CF0B31"/>
    <w:rsid w:val="00D02C41"/>
    <w:rsid w:val="00D0643D"/>
    <w:rsid w:val="00D301AA"/>
    <w:rsid w:val="00D3225E"/>
    <w:rsid w:val="00D333A3"/>
    <w:rsid w:val="00D372AE"/>
    <w:rsid w:val="00D430BE"/>
    <w:rsid w:val="00D435DB"/>
    <w:rsid w:val="00D56588"/>
    <w:rsid w:val="00D6266C"/>
    <w:rsid w:val="00D83E68"/>
    <w:rsid w:val="00D93959"/>
    <w:rsid w:val="00D93F45"/>
    <w:rsid w:val="00D947A2"/>
    <w:rsid w:val="00DB06F3"/>
    <w:rsid w:val="00DB4F9D"/>
    <w:rsid w:val="00DC68D6"/>
    <w:rsid w:val="00DD309C"/>
    <w:rsid w:val="00DE1B04"/>
    <w:rsid w:val="00E21A42"/>
    <w:rsid w:val="00E25F97"/>
    <w:rsid w:val="00E3436C"/>
    <w:rsid w:val="00E37E64"/>
    <w:rsid w:val="00E45574"/>
    <w:rsid w:val="00E62A5D"/>
    <w:rsid w:val="00EA0C66"/>
    <w:rsid w:val="00EA6E08"/>
    <w:rsid w:val="00EB355F"/>
    <w:rsid w:val="00EB3EFB"/>
    <w:rsid w:val="00EB59C8"/>
    <w:rsid w:val="00EC08BB"/>
    <w:rsid w:val="00EC0FC0"/>
    <w:rsid w:val="00EE123B"/>
    <w:rsid w:val="00EE24E3"/>
    <w:rsid w:val="00EF5D81"/>
    <w:rsid w:val="00F01972"/>
    <w:rsid w:val="00F06C97"/>
    <w:rsid w:val="00F20933"/>
    <w:rsid w:val="00F23797"/>
    <w:rsid w:val="00F259E8"/>
    <w:rsid w:val="00F3129E"/>
    <w:rsid w:val="00F407DE"/>
    <w:rsid w:val="00F4136C"/>
    <w:rsid w:val="00F43801"/>
    <w:rsid w:val="00F61DCA"/>
    <w:rsid w:val="00F677F0"/>
    <w:rsid w:val="00F83E96"/>
    <w:rsid w:val="00F85691"/>
    <w:rsid w:val="00F9240B"/>
    <w:rsid w:val="00F92F7F"/>
    <w:rsid w:val="00F97A67"/>
    <w:rsid w:val="00FB19CF"/>
    <w:rsid w:val="00FD06D7"/>
    <w:rsid w:val="00FE669E"/>
    <w:rsid w:val="00FF5DC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EA34"/>
  <w15:chartTrackingRefBased/>
  <w15:docId w15:val="{69276A52-D8FB-4C5B-A3DE-0A66BB2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301AA"/>
    <w:pPr>
      <w:widowControl w:val="0"/>
      <w:numPr>
        <w:numId w:val="7"/>
      </w:numPr>
      <w:autoSpaceDE w:val="0"/>
      <w:autoSpaceDN w:val="0"/>
      <w:spacing w:after="0" w:line="240" w:lineRule="auto"/>
      <w:outlineLvl w:val="0"/>
    </w:pPr>
    <w:rPr>
      <w:rFonts w:ascii="Microsoft Sans Serif" w:eastAsia="Microsoft Sans Serif" w:hAnsi="Microsoft Sans Serif" w:cs="Microsoft Sans Serif"/>
      <w:b/>
      <w:bCs/>
      <w:i/>
      <w:sz w:val="21"/>
      <w:szCs w:val="2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301AA"/>
    <w:pPr>
      <w:widowControl w:val="0"/>
      <w:numPr>
        <w:ilvl w:val="1"/>
        <w:numId w:val="7"/>
      </w:numPr>
      <w:autoSpaceDE w:val="0"/>
      <w:autoSpaceDN w:val="0"/>
      <w:spacing w:after="0" w:line="240" w:lineRule="auto"/>
      <w:outlineLvl w:val="1"/>
    </w:pPr>
    <w:rPr>
      <w:rFonts w:ascii="Microsoft Sans Serif" w:eastAsia="Microsoft Sans Serif" w:hAnsi="Microsoft Sans Serif" w:cs="Microsoft Sans Serif"/>
      <w:i/>
      <w:sz w:val="21"/>
      <w:szCs w:val="21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301AA"/>
    <w:pPr>
      <w:widowControl w:val="0"/>
      <w:numPr>
        <w:ilvl w:val="2"/>
        <w:numId w:val="7"/>
      </w:numPr>
      <w:autoSpaceDE w:val="0"/>
      <w:autoSpaceDN w:val="0"/>
      <w:spacing w:after="0" w:line="240" w:lineRule="auto"/>
      <w:outlineLvl w:val="2"/>
    </w:pPr>
    <w:rPr>
      <w:rFonts w:ascii="Microsoft Sans Serif" w:eastAsia="Microsoft Sans Serif" w:hAnsi="Microsoft Sans Serif" w:cs="Microsoft Sans Serif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1AA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1A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1A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1A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1A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1A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301AA"/>
    <w:rPr>
      <w:rFonts w:ascii="Microsoft Sans Serif" w:eastAsia="Microsoft Sans Serif" w:hAnsi="Microsoft Sans Serif" w:cs="Microsoft Sans Serif"/>
      <w:b/>
      <w:bCs/>
      <w:i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01AA"/>
    <w:rPr>
      <w:rFonts w:ascii="Microsoft Sans Serif" w:eastAsia="Microsoft Sans Serif" w:hAnsi="Microsoft Sans Serif" w:cs="Microsoft Sans Serif"/>
      <w:i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01AA"/>
    <w:rPr>
      <w:rFonts w:ascii="Microsoft Sans Serif" w:eastAsia="Microsoft Sans Serif" w:hAnsi="Microsoft Sans Serif" w:cs="Microsoft Sans Serif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1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1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1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1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1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6301AA"/>
    <w:pPr>
      <w:widowControl w:val="0"/>
      <w:autoSpaceDE w:val="0"/>
      <w:autoSpaceDN w:val="0"/>
      <w:spacing w:after="0" w:line="240" w:lineRule="auto"/>
      <w:ind w:left="116"/>
    </w:pPr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01AA"/>
    <w:rPr>
      <w:rFonts w:ascii="Microsoft Sans Serif" w:eastAsia="Microsoft Sans Serif" w:hAnsi="Microsoft Sans Serif" w:cs="Microsoft Sans Serif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301AA"/>
    <w:pPr>
      <w:widowControl w:val="0"/>
      <w:autoSpaceDE w:val="0"/>
      <w:autoSpaceDN w:val="0"/>
      <w:spacing w:after="0" w:line="240" w:lineRule="auto"/>
      <w:ind w:left="395" w:hanging="278"/>
    </w:pPr>
    <w:rPr>
      <w:rFonts w:ascii="Microsoft Sans Serif" w:eastAsia="Microsoft Sans Serif" w:hAnsi="Microsoft Sans Serif" w:cs="Microsoft Sans Serif"/>
      <w:lang w:val="en-US"/>
    </w:rPr>
  </w:style>
  <w:style w:type="paragraph" w:customStyle="1" w:styleId="TableParagraph">
    <w:name w:val="Table Paragraph"/>
    <w:basedOn w:val="Normal"/>
    <w:uiPriority w:val="1"/>
    <w:qFormat/>
    <w:rsid w:val="006301AA"/>
    <w:pPr>
      <w:widowControl w:val="0"/>
      <w:autoSpaceDE w:val="0"/>
      <w:autoSpaceDN w:val="0"/>
      <w:spacing w:after="0" w:line="240" w:lineRule="auto"/>
      <w:ind w:left="108"/>
    </w:pPr>
    <w:rPr>
      <w:rFonts w:ascii="Microsoft Sans Serif" w:eastAsia="Microsoft Sans Serif" w:hAnsi="Microsoft Sans Serif" w:cs="Microsoft Sans Serif"/>
      <w:lang w:val="en-US"/>
    </w:rPr>
  </w:style>
  <w:style w:type="table" w:styleId="TableGrid">
    <w:name w:val="Table Grid"/>
    <w:basedOn w:val="TableNormal"/>
    <w:uiPriority w:val="39"/>
    <w:rsid w:val="0039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E18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6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5C"/>
  </w:style>
  <w:style w:type="paragraph" w:styleId="Footer">
    <w:name w:val="footer"/>
    <w:basedOn w:val="Normal"/>
    <w:link w:val="FooterChar"/>
    <w:uiPriority w:val="99"/>
    <w:unhideWhenUsed/>
    <w:rsid w:val="003A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A036D76-107D-459B-B71C-D52B854A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Insanic</dc:creator>
  <cp:keywords/>
  <dc:description/>
  <cp:lastModifiedBy>Dzenana Pavlinovic</cp:lastModifiedBy>
  <cp:revision>5</cp:revision>
  <dcterms:created xsi:type="dcterms:W3CDTF">2019-12-25T08:30:00Z</dcterms:created>
  <dcterms:modified xsi:type="dcterms:W3CDTF">2019-12-26T19:49:00Z</dcterms:modified>
</cp:coreProperties>
</file>